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Koordination von Fremdfirmen</w:t>
      </w:r>
    </w:p>
    <w:p>
      <w:pPr>
        <w:pStyle w:val="SaSubtitle"/>
      </w:pPr>
      <w:r>
        <w:t xml:space="preserve">Deutschland — § 8 ArbSchG. Zwei Sätze, kein vorgeschriebenes Dokument: Abschnitt 2.</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Was dieses Dokument nicht ist</w:t>
            </w:r>
          </w:p>
          <w:p>
            <w:pPr>
              <w:pStyle w:val="SaCell"/>
            </w:pPr>
            <w:r>
              <w:t xml:space="preserve">Kein vorgeschriebenes Formular. § 8 ArbSchG verlangt Zusammenarbeit und eine Vergewisserungspflicht — kein Dokument. Wer eine Fremdfirmenvereinbarung unterschreiben lässt und dabei nicht gemeinsam über die Fläche gegangen ist, hat § 8 Abs. 1 nicht erfüllt, sondern nur Papier erzeugt. Keine Rechtsberatung.</w:t>
            </w:r>
          </w:p>
        </w:tc>
      </w:tr>
    </w:tbl>
    <w:p>
      <w:pPr>
        <w:pStyle w:val="SaChrome"/>
      </w:pPr>
    </w:p>
    <w:p>
      <w:pPr>
        <w:pStyle w:val="SaH1"/>
      </w:pPr>
      <w:r>
        <w:t xml:space="preserve">1. Beteiligte und Auftrag</w:t>
      </w:r>
    </w:p>
    <w:p>
      <w:pPr>
        <w:pStyle w:val="SaBasis"/>
      </w:pPr>
      <w:r>
        <w:t xml:space="preserve">— betriebliche Praxis, nicht vorgeschrieben</w:t>
      </w:r>
    </w:p>
    <w:p>
      <w:pPr>
        <w:pStyle w:val="SaBody"/>
      </w:pPr>
      <w:r>
        <w:rPr>
          <w:b w:val="false"/>
          <w:bCs w:val="false"/>
        </w:rPr>
        <w:t xml:space="preserve">Namen statt nur Firmen. Die Vergewisserungspflicht des § 8 Abs. 2 richtet sich an eine Person, die etwas nachfragt — und die muss benannt sein.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Auftraggeber (Betreiber)</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Standort und Bereich</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Fremdfirma</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Nachunternehmer</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Art der Arbeiten</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Zeitraum, von und bis</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Voraussichtlich eingesetzte Personen</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Koordinierende Person beim Auftraggeber</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Verantwortliche Person der Fremdfirma</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Baustelle im Sinne der BaustellV?</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[dann kommen eigene Pflichten hinzu]</w:t>
            </w:r>
          </w:p>
        </w:tc>
      </w:tr>
    </w:tbl>
    <w:p>
      <w:pPr>
        <w:pStyle w:val="SaChrome"/>
      </w:pPr>
    </w:p>
    <w:p>
      <w:pPr>
        <w:pStyle w:val="SaH1"/>
      </w:pPr>
      <w:r>
        <w:t xml:space="preserve">2. Was § 8 ArbSchG tatsächlich verlangt</w:t>
      </w:r>
    </w:p>
    <w:p>
      <w:pPr>
        <w:pStyle w:val="SaBasis"/>
      </w:pPr>
      <w:r>
        <w:t xml:space="preserve">— rechtlich vorgeschrieben</w:t>
      </w:r>
    </w:p>
    <w:p>
      <w:pPr>
        <w:pStyle w:val="SaBody"/>
      </w:pPr>
      <w:r>
        <w:rPr>
          <w:b w:val="false"/>
          <w:bCs w:val="false"/>
        </w:rPr>
        <w:t xml:space="preserve">Zwei Sätze, und der zweite ist der, der übergangen wird. Er verlangt nicht, die Fremdfirma zu unterweisen — er verlangt, sich zu **vergewissern**, dass ihre Beschäftigten angemessene Anweisungen erhalten haben.</w:t>
      </w:r>
    </w:p>
    <w:p>
      <w:pPr>
        <w:pStyle w:val="SaBody"/>
      </w:pPr>
      <w:r>
        <w:rPr>
          <w:b/>
          <w:bCs/>
        </w:rPr>
        <w:t xml:space="preserve">«Je nach Art der Tätigkeit» heißt: bei einer Schweißarbeit im Betrieb ist der Maßstab ein anderer als bei einer Fensterreinigung. Die Vergewisserung ist skalierbar, nicht optional.</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1349"/>
        <w:gridCol w:w="5397"/>
        <w:gridCol w:w="2892"/>
      </w:tblGrid>
      <w:tr>
        <w:trPr>
          <w:tblHeader/>
        </w:trPr>
        <w:tc>
          <w:tcPr>
            <w:tcW w:type="dxa" w:w="1349"/>
            <w:shd w:fill="014259" w:color="auto" w:val="clear"/>
            <w:tcMar>
              <w:top w:type="dxa" w:w="60"/>
              <w:left w:type="dxa" w:w="100"/>
              <w:bottom w:type="dxa" w:w="60"/>
              <w:right w:type="dxa" w:w="100"/>
            </w:tcMar>
          </w:tcPr>
          <w:p>
            <w:pPr>
              <w:pStyle w:val="SaCellHeader"/>
            </w:pPr>
            <w:r>
              <w:t xml:space="preserve">Absatz</w:t>
            </w:r>
          </w:p>
        </w:tc>
        <w:tc>
          <w:tcPr>
            <w:tcW w:type="dxa" w:w="5397"/>
            <w:shd w:fill="014259" w:color="auto" w:val="clear"/>
            <w:tcMar>
              <w:top w:type="dxa" w:w="60"/>
              <w:left w:type="dxa" w:w="100"/>
              <w:bottom w:type="dxa" w:w="60"/>
              <w:right w:type="dxa" w:w="100"/>
            </w:tcMar>
          </w:tcPr>
          <w:p>
            <w:pPr>
              <w:pStyle w:val="SaCellHeader"/>
            </w:pPr>
            <w:r>
              <w:t xml:space="preserve">Pflicht</w:t>
            </w:r>
          </w:p>
        </w:tc>
        <w:tc>
          <w:tcPr>
            <w:tcW w:type="dxa" w:w="2892"/>
            <w:shd w:fill="014259" w:color="auto" w:val="clear"/>
            <w:tcMar>
              <w:top w:type="dxa" w:w="60"/>
              <w:left w:type="dxa" w:w="100"/>
              <w:bottom w:type="dxa" w:w="60"/>
              <w:right w:type="dxa" w:w="100"/>
            </w:tcMar>
          </w:tcPr>
          <w:p>
            <w:pPr>
              <w:pStyle w:val="SaCellHeader"/>
            </w:pPr>
            <w:r>
              <w:t xml:space="preserve">Grundlage</w:t>
            </w:r>
          </w:p>
        </w:tc>
      </w:tr>
      <w:tr>
        <w:tc>
          <w:tcPr>
            <w:tcW w:type="dxa" w:w="1349"/>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Abs. 1</w:t>
            </w:r>
          </w:p>
        </w:tc>
        <w:tc>
          <w:tcPr>
            <w:tcW w:type="dxa" w:w="53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Werden Beschäftigte mehrerer Arbeitgeber an einem Arbeitsplatz tätig, sind die Arbeitgeber verpflichtet, bei der Durchführung der Sicherheits- und Gesundheitsschutzbestimmungen zusammenzuarbeiten.</w:t>
            </w:r>
          </w:p>
        </w:tc>
        <w:tc>
          <w:tcPr>
            <w:tcW w:type="dxa" w:w="28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ArbSchG, § 8 Abs. 1</w:t>
            </w:r>
          </w:p>
        </w:tc>
      </w:tr>
      <w:tr>
        <w:tc>
          <w:tcPr>
            <w:tcW w:type="dxa" w:w="1349"/>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Abs. 2</w:t>
            </w:r>
          </w:p>
        </w:tc>
        <w:tc>
          <w:tcPr>
            <w:tcW w:type="dxa" w:w="53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Der Arbeitgeber muss sich je nach Art der Tätigkeit vergewissern, dass die Beschäftigten anderer Arbeitgeber, die in seinem Betrieb tätig werden, hinsichtlich der Gefahren für ihre Sicherheit und Gesundheit während ihrer Tätigkeit in seinem Betrieb angemessene Anweisungen erhalten haben.</w:t>
            </w:r>
          </w:p>
        </w:tc>
        <w:tc>
          <w:tcPr>
            <w:tcW w:type="dxa" w:w="28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ArbSchG, § 8 Abs. 2</w:t>
            </w:r>
          </w:p>
        </w:tc>
      </w:tr>
    </w:tbl>
    <w:p>
      <w:pPr>
        <w:pStyle w:val="SaNote"/>
      </w:pPr>
      <w:r>
        <w:t xml:space="preserve">Kein Schwellenwert, keine Stundenzahl, kein Schriftformerfordernis — anders als in Frankreich, wo ab 400 Stunden ein schriftlicher Plan zwingend ist. Wer in einem deutschen Betrieb einen französischen Schwellenwert anwendet, wendet eine Regel an, die hier nicht existiert; und wer aus Deutschland nach Frankreich liefert, unterschätzt die dortige Pflicht.</w:t>
      </w:r>
    </w:p>
    <w:p>
      <w:pPr>
        <w:pStyle w:val="SaH1"/>
      </w:pPr>
      <w:r>
        <w:t xml:space="preserve">3. Gemeinsame Begehung vor Beginn</w:t>
      </w:r>
    </w:p>
    <w:p>
      <w:pPr>
        <w:pStyle w:val="SaBasis"/>
      </w:pPr>
      <w:r>
        <w:t xml:space="preserve">— betriebliche Praxis, nicht vorgeschrieben</w:t>
      </w:r>
    </w:p>
    <w:p>
      <w:pPr>
        <w:pStyle w:val="SaBody"/>
      </w:pPr>
      <w:r>
        <w:rPr>
          <w:b w:val="false"/>
          <w:bCs w:val="false"/>
        </w:rPr>
        <w:t xml:space="preserve">Nicht vorgeschrieben, und die einzige Art, § 8 Abs. 1 überhaupt zu erfüllen. Frankreich verlangt genau diese Begehung namentlich — was relevant ist, wenn Sie für einen französischen Konzern arbeiten.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Datum der gemeinsamen Begehung</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Begangene Bereiche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Anwesend für den Auftraggeber</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Anwesend für die Fremdfirma</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Arbeitsbereiche vor Ort abgegrenzt, nicht nur im Plan.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Verkehrswege, Zugänge und Abstellflächen gezeigt.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Anlagen und Arbeitsmittel benannt, die während der Arbeiten in Betrieb bleiben.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Alarm, Flucht- und Rettungswege, Sammelplätze und Erste Hilfe erklärt.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Gefahrstoffe im Bereich benannt, mit Betriebsanweisung und Sicherheitsdatenblatt.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Besondere Gefahrenbereiche gekennzeichnet: Explosionsschutz, enge Räume, elektrische Anlagen, Arbeiten in der Höhe, Heißarbeiten.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Vergewisserung nach § 8 Abs. 2 durchgeführt und festgehalten.</w:t>
            </w:r>
          </w:p>
          <w:p>
            <w:pPr>
              <w:pStyle w:val="SaHint"/>
            </w:pPr>
            <w:r>
              <w:t xml:space="preserve">Nicht: selbst unterweisen. Sondern: prüfen, dass angemessene Anweisungen erteilt wurden.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Ansprechpartner und Kommunikationswege ausgetauscht.</w:t>
            </w:r>
          </w:p>
        </w:tc>
      </w:tr>
    </w:tbl>
    <w:p>
      <w:pPr>
        <w:pStyle w:val="SaChrome"/>
      </w:pPr>
    </w:p>
    <w:p>
      <w:r>
        <w:br w:type="page"/>
      </w:r>
    </w:p>
    <w:p>
      <w:pPr>
        <w:pStyle w:val="SaH1"/>
      </w:pPr>
      <w:r>
        <w:t xml:space="preserve">4. Gefährdungen aus dem Zusammentreffen</w:t>
      </w:r>
    </w:p>
    <w:p>
      <w:pPr>
        <w:pStyle w:val="SaBasis"/>
      </w:pPr>
      <w:r>
        <w:t xml:space="preserve">— rechtlich vorgeschrieben</w:t>
      </w:r>
    </w:p>
    <w:p>
      <w:pPr>
        <w:pStyle w:val="SaBody"/>
      </w:pPr>
      <w:r>
        <w:rPr>
          <w:b w:val="false"/>
          <w:bCs w:val="false"/>
        </w:rPr>
        <w:t xml:space="preserve">Dieses Dokument behandelt nicht die eigenen Gefährdungen jeder Firma — die stehen in ihrer jeweiligen Gefährdungsbeurteilung. Es behandelt, was das Nebeneinander erzeugt, und genau diese Unterscheidung fehlt in fast jeder Fremdfirmenmappe.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505"/>
        <w:gridCol w:w="1349"/>
        <w:gridCol w:w="2505"/>
        <w:gridCol w:w="1445"/>
        <w:gridCol w:w="1353"/>
      </w:tblGrid>
      <w:tr>
        <w:trPr>
          <w:tblHeader/>
        </w:trPr>
        <w:tc>
          <w:tcPr>
            <w:tcW w:type="dxa" w:w="481"/>
            <w:shd w:fill="014259" w:color="auto" w:val="clear"/>
            <w:tcMar>
              <w:top w:type="dxa" w:w="60"/>
              <w:left w:type="dxa" w:w="100"/>
              <w:bottom w:type="dxa" w:w="60"/>
              <w:right w:type="dxa" w:w="100"/>
            </w:tcMar>
          </w:tcPr>
          <w:p>
            <w:pPr>
              <w:pStyle w:val="SaCellHeader"/>
            </w:pPr>
            <w:r>
              <w:t xml:space="preserve">Nr.</w:t>
            </w:r>
          </w:p>
        </w:tc>
        <w:tc>
          <w:tcPr>
            <w:tcW w:type="dxa" w:w="2505"/>
            <w:shd w:fill="014259" w:color="auto" w:val="clear"/>
            <w:tcMar>
              <w:top w:type="dxa" w:w="60"/>
              <w:left w:type="dxa" w:w="100"/>
              <w:bottom w:type="dxa" w:w="60"/>
              <w:right w:type="dxa" w:w="100"/>
            </w:tcMar>
          </w:tcPr>
          <w:p>
            <w:pPr>
              <w:pStyle w:val="SaCellHeader"/>
            </w:pPr>
            <w:r>
              <w:t xml:space="preserve">Gefährdung aus dem Zusammentreffen</w:t>
            </w:r>
          </w:p>
        </w:tc>
        <w:tc>
          <w:tcPr>
            <w:tcW w:type="dxa" w:w="1349"/>
            <w:shd w:fill="014259" w:color="auto" w:val="clear"/>
            <w:tcMar>
              <w:top w:type="dxa" w:w="60"/>
              <w:left w:type="dxa" w:w="100"/>
              <w:bottom w:type="dxa" w:w="60"/>
              <w:right w:type="dxa" w:w="100"/>
            </w:tcMar>
          </w:tcPr>
          <w:p>
            <w:pPr>
              <w:pStyle w:val="SaCellHeader"/>
            </w:pPr>
            <w:r>
              <w:t xml:space="preserve">Wer ist betroffen</w:t>
            </w:r>
          </w:p>
        </w:tc>
        <w:tc>
          <w:tcPr>
            <w:tcW w:type="dxa" w:w="2505"/>
            <w:shd w:fill="014259" w:color="auto" w:val="clear"/>
            <w:tcMar>
              <w:top w:type="dxa" w:w="60"/>
              <w:left w:type="dxa" w:w="100"/>
              <w:bottom w:type="dxa" w:w="60"/>
              <w:right w:type="dxa" w:w="100"/>
            </w:tcMar>
          </w:tcPr>
          <w:p>
            <w:pPr>
              <w:pStyle w:val="SaCellHeader"/>
            </w:pPr>
            <w:r>
              <w:t xml:space="preserve">Festgelegte Maßnahme</w:t>
            </w:r>
          </w:p>
        </w:tc>
        <w:tc>
          <w:tcPr>
            <w:tcW w:type="dxa" w:w="1445"/>
            <w:shd w:fill="014259" w:color="auto" w:val="clear"/>
            <w:tcMar>
              <w:top w:type="dxa" w:w="60"/>
              <w:left w:type="dxa" w:w="100"/>
              <w:bottom w:type="dxa" w:w="60"/>
              <w:right w:type="dxa" w:w="100"/>
            </w:tcMar>
          </w:tcPr>
          <w:p>
            <w:pPr>
              <w:pStyle w:val="SaCellHeader"/>
            </w:pPr>
            <w:r>
              <w:t xml:space="preserve">Zulasten von</w:t>
            </w:r>
          </w:p>
        </w:tc>
        <w:tc>
          <w:tcPr>
            <w:tcW w:type="dxa" w:w="1353"/>
            <w:shd w:fill="014259" w:color="auto" w:val="clear"/>
            <w:tcMar>
              <w:top w:type="dxa" w:w="60"/>
              <w:left w:type="dxa" w:w="100"/>
              <w:bottom w:type="dxa" w:w="60"/>
              <w:right w:type="dxa" w:w="100"/>
            </w:tcMar>
          </w:tcPr>
          <w:p>
            <w:pPr>
              <w:pStyle w:val="SaCellHeader"/>
            </w:pPr>
            <w:r>
              <w:t xml:space="preserve">Vorher / während</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Die Spalte «zulasten von» ist der Zweck des Dokuments. Eine gemeinsam beschlossene und niemandem zugeordnete Maßnahme ist eine Maßnahme, die beide Seiten bei der anderen vermuten — der typische Fehler der Fremdfirmenarbeit.</w:t>
      </w:r>
    </w:p>
    <w:p>
      <w:pPr>
        <w:pStyle w:val="SaH1"/>
      </w:pPr>
      <w:r>
        <w:t xml:space="preserve">5. Koordination während der Arbeiten</w:t>
      </w:r>
    </w:p>
    <w:p>
      <w:pPr>
        <w:pStyle w:val="SaBasis"/>
      </w:pPr>
      <w:r>
        <w:t xml:space="preserve">— betriebliche Praxis, nicht vorgeschrieben</w:t>
      </w:r>
    </w:p>
    <w:p>
      <w:pPr>
        <w:pStyle w:val="SaBody"/>
      </w:pPr>
      <w:r>
        <w:rPr>
          <w:b w:val="false"/>
          <w:bCs w:val="false"/>
        </w:rPr>
        <w:t xml:space="preserve">§ 8 nennt keine laufenden Formalitäten. Die Praxis, die trägt, ist trotzdem dieselbe wie in den anderen vier Ländern: eine Ansprechperson, ein regelmäßiger Abgleich, und eine Wiederholung der Abstimmung, wenn sich der Auftrag ändert.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Vereinbarung während der Arbeiten auf der Fläche verfügbar.</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Betriebs- oder Personalrat beider Seiten informiert.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Neue Nachunternehmer vor ihrem Eintreffen eingebunden.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Regelmäßiger Abstimmungstermin mit schriftlichem Ergebnis.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Bei Änderung des Auftrags erneute gemeinsame Begehung.</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Bei Baustellen: Pflichten nach der Baustellenverordnung geprüft.</w:t>
            </w:r>
          </w:p>
        </w:tc>
      </w:tr>
    </w:tbl>
    <w:p>
      <w:pPr>
        <w:pStyle w:val="SaChrome"/>
      </w:pPr>
    </w:p>
    <w:p>
      <w:pPr>
        <w:pStyle w:val="SaH1"/>
      </w:pPr>
      <w:r>
        <w:t xml:space="preserve">6. Änderungen und Abschluss</w:t>
      </w:r>
    </w:p>
    <w:p>
      <w:pPr>
        <w:pStyle w:val="SaBasis"/>
      </w:pPr>
      <w:r>
        <w:t xml:space="preserve">— betriebliche Praxis, nicht vorgeschrieben</w:t>
      </w:r>
    </w:p>
    <w:p>
      <w:pPr>
        <w:pStyle w:val="SaBody"/>
      </w:pPr>
      <w:r>
        <w:rPr>
          <w:b w:val="false"/>
          <w:bCs w:val="false"/>
        </w:rPr>
        <w:t xml:space="preserve">Nicht vorgeschrieben. Notwendig, weil ein länger laufender Auftrag sich ändert und eine im Januar unterschriebene Vereinbarung im Mai eine andere Arbeit beschreibt.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1060"/>
        <w:gridCol w:w="3084"/>
        <w:gridCol w:w="1638"/>
        <w:gridCol w:w="2505"/>
        <w:gridCol w:w="1351"/>
      </w:tblGrid>
      <w:tr>
        <w:trPr>
          <w:tblHeader/>
        </w:trPr>
        <w:tc>
          <w:tcPr>
            <w:tcW w:type="dxa" w:w="1060"/>
            <w:shd w:fill="014259" w:color="auto" w:val="clear"/>
            <w:tcMar>
              <w:top w:type="dxa" w:w="60"/>
              <w:left w:type="dxa" w:w="100"/>
              <w:bottom w:type="dxa" w:w="60"/>
              <w:right w:type="dxa" w:w="100"/>
            </w:tcMar>
          </w:tcPr>
          <w:p>
            <w:pPr>
              <w:pStyle w:val="SaCellHeader"/>
            </w:pPr>
            <w:r>
              <w:t xml:space="preserve">Datum</w:t>
            </w:r>
          </w:p>
        </w:tc>
        <w:tc>
          <w:tcPr>
            <w:tcW w:type="dxa" w:w="3084"/>
            <w:shd w:fill="014259" w:color="auto" w:val="clear"/>
            <w:tcMar>
              <w:top w:type="dxa" w:w="60"/>
              <w:left w:type="dxa" w:w="100"/>
              <w:bottom w:type="dxa" w:w="60"/>
              <w:right w:type="dxa" w:w="100"/>
            </w:tcMar>
          </w:tcPr>
          <w:p>
            <w:pPr>
              <w:pStyle w:val="SaCellHeader"/>
            </w:pPr>
            <w:r>
              <w:t xml:space="preserve">Änderung des Auftrags</w:t>
            </w:r>
          </w:p>
        </w:tc>
        <w:tc>
          <w:tcPr>
            <w:tcW w:type="dxa" w:w="1638"/>
            <w:shd w:fill="014259" w:color="auto" w:val="clear"/>
            <w:tcMar>
              <w:top w:type="dxa" w:w="60"/>
              <w:left w:type="dxa" w:w="100"/>
              <w:bottom w:type="dxa" w:w="60"/>
              <w:right w:type="dxa" w:w="100"/>
            </w:tcMar>
          </w:tcPr>
          <w:p>
            <w:pPr>
              <w:pStyle w:val="SaCellHeader"/>
            </w:pPr>
            <w:r>
              <w:t xml:space="preserve">Neue Begehung?</w:t>
            </w:r>
          </w:p>
        </w:tc>
        <w:tc>
          <w:tcPr>
            <w:tcW w:type="dxa" w:w="2505"/>
            <w:shd w:fill="014259" w:color="auto" w:val="clear"/>
            <w:tcMar>
              <w:top w:type="dxa" w:w="60"/>
              <w:left w:type="dxa" w:w="100"/>
              <w:bottom w:type="dxa" w:w="60"/>
              <w:right w:type="dxa" w:w="100"/>
            </w:tcMar>
          </w:tcPr>
          <w:p>
            <w:pPr>
              <w:pStyle w:val="SaCellHeader"/>
            </w:pPr>
            <w:r>
              <w:t xml:space="preserve">Ergänzte Maßnahmen</w:t>
            </w:r>
          </w:p>
        </w:tc>
        <w:tc>
          <w:tcPr>
            <w:tcW w:type="dxa" w:w="1351"/>
            <w:shd w:fill="014259" w:color="auto" w:val="clear"/>
            <w:tcMar>
              <w:top w:type="dxa" w:w="60"/>
              <w:left w:type="dxa" w:w="100"/>
              <w:bottom w:type="dxa" w:w="60"/>
              <w:right w:type="dxa" w:w="100"/>
            </w:tcMar>
          </w:tcPr>
          <w:p>
            <w:pPr>
              <w:pStyle w:val="SaCellHeader"/>
            </w:pPr>
            <w:r>
              <w:t xml:space="preserve">Beide Seiten</w:t>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Unterschriften</w:t>
      </w:r>
    </w:p>
    <w:p>
      <w:pPr>
        <w:pStyle w:val="SaBasis"/>
      </w:pPr>
      <w:r>
        <w:t xml:space="preserve">— betriebliche Praxis, nicht vorgeschrieben</w:t>
      </w:r>
    </w:p>
    <w:p>
      <w:pPr>
        <w:pStyle w:val="SaBody"/>
      </w:pPr>
      <w:r>
        <w:rPr>
          <w:b w:val="false"/>
          <w:bCs w:val="false"/>
        </w:rPr>
        <w:t xml:space="preserve">Zwei Arbeitgeber, zwei Unterschriften. Und die Unterschrift verschiebt keine Verantwortung: jeder Arbeitgeber bleibt für seine Beschäftigten verantwortlich, wie auch koordiniert wird.</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9"/>
        <w:gridCol w:w="4819"/>
      </w:tblGrid>
      <w:tr>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Für den Auftraggeber</w:t>
            </w:r>
          </w:p>
          <w:p>
            <w:pPr>
              <w:pStyle w:val="SaHint"/>
            </w:pPr>
            <w:r>
              <w:t xml:space="preserve">Name, Funktion, Datum</w:t>
            </w:r>
          </w:p>
        </w:tc>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Für die Fremdfirma</w:t>
            </w:r>
          </w:p>
          <w:p>
            <w:pPr>
              <w:pStyle w:val="SaHint"/>
            </w:pPr>
            <w:r>
              <w:t xml:space="preserve">Name, Funktion, Datum</w:t>
            </w:r>
          </w:p>
        </w:tc>
      </w:tr>
      <w:tr>
        <w:trPr>
          <w:trHeight w:val="1100" w:hRule="atLeast"/>
        </w:trPr>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9"/>
        <w:gridCol w:w="4819"/>
      </w:tblGrid>
      <w:tr>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Für Nachunternehmer</w:t>
            </w:r>
          </w:p>
          <w:p>
            <w:pPr>
              <w:pStyle w:val="SaHint"/>
            </w:pPr>
            <w:r>
              <w:t xml:space="preserve">Name, Firma, Datum</w:t>
            </w:r>
          </w:p>
        </w:tc>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Weitere Beteiligte</w:t>
            </w:r>
          </w:p>
          <w:p>
            <w:pPr>
              <w:pStyle w:val="SaHint"/>
            </w:pPr>
            <w:r>
              <w:t xml:space="preserve">Falls zutreffend</w:t>
            </w:r>
          </w:p>
        </w:tc>
      </w:tr>
      <w:tr>
        <w:trPr>
          <w:trHeight w:val="1100" w:hRule="atLeast"/>
        </w:trPr>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Quellen</w:t>
      </w:r>
    </w:p>
    <w:p>
      <w:pPr>
        <w:pStyle w:val="ListParagraph"/>
        <w:pStyle w:val="SaNote"/>
        <w:numPr>
          <w:ilvl w:val="0"/>
          <w:numId w:val="1"/>
        </w:numPr>
      </w:pPr>
      <w:r>
        <w:t xml:space="preserve">ArbSchG § 8 — Zusammenarbeit mehrerer Arbeitgeber — </w:t>
      </w:r>
      <w:hyperlink w:history="1" r:id="rIdugchjpcpjjb64ofrx4i-0">
        <w:r>
          <w:rPr>
            <w:color w:val="005674"/>
            <w:u w:val="single"/>
          </w:rPr>
          <w:t xml:space="preserve">https://www.gesetze-im-internet.de/arbschg/__8.html</w:t>
        </w:r>
      </w:hyperlink>
    </w:p>
    <w:p>
      <w:pPr>
        <w:pStyle w:val="ListParagraph"/>
        <w:pStyle w:val="SaNote"/>
        <w:numPr>
          <w:ilvl w:val="0"/>
          <w:numId w:val="1"/>
        </w:numPr>
      </w:pPr>
      <w:r>
        <w:t xml:space="preserve">ArbSchG § 5 — Beurteilung der Arbeitsbedingungen — </w:t>
      </w:r>
      <w:hyperlink w:history="1" r:id="rIdqekna5ayf5xr8h89_usdt">
        <w:r>
          <w:rPr>
            <w:color w:val="005674"/>
            <w:u w:val="single"/>
          </w:rPr>
          <w:t xml:space="preserve">https://www.gesetze-im-internet.de/arbschg/__5.html</w:t>
        </w:r>
      </w:hyperlink>
    </w:p>
    <w:p>
      <w:pPr>
        <w:pStyle w:val="SaNote"/>
      </w:pPr>
      <w:r>
        <w:rPr>
          <w:b w:val="false"/>
          <w:bCs w:val="false"/>
        </w:rPr>
        <w:t xml:space="preserve">Inhalt zuletzt geprüft am 2026-09-08 · Die Seite zu dieser Vorlage — https://safeally.net/de-de/vorlagen/fremdfirmen-koordination/</w:t>
      </w:r>
    </w:p>
    <w:p>
      <w:pPr>
        <w:pStyle w:val="SaNote"/>
      </w:pPr>
      <w:r>
        <w:rPr>
          <w:b w:val="false"/>
          <w:bCs w:val="false"/>
        </w:rPr>
        <w:t xml:space="preserve">SafeAlly — safeally.net · kostenlos, ohne Konto, bearbeitbares Dokument</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Inhalt zuletzt geprüft am 2026-09-08 · safeally.net</w:t>
    </w:r>
    <w:r>
      <w:t xml:space="preserve">	</w:t>
      <w:t xml:space="preserve">Seite </w:t>
      <w:fldChar w:fldCharType="begin"/>
      <w:instrText xml:space="preserve">PAGE</w:instrText>
      <w:fldChar w:fldCharType="separate"/>
      <w:fldChar w:fldCharType="end"/>
    </w:r>
    <w:r>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Fremdfirmenkoordination — Auftrag Nr. …………… — vom ……/……/……… bis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gesetze-im-internet.de/arbschg/__8.html" TargetMode="External"/><Relationship Id="rIdqekna5ayf5xr8h89_usdt" Type="http://schemas.openxmlformats.org/officeDocument/2006/relationships/hyperlink" Target="https://www.gesetze-im-internet.de/arbschg/__5.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Koordination von Fremdfirmen</dc:title>
  <dc:subject>Vereinbarung zur Zusammenarbeit mehrerer Arbeitgeber an einem Arbeitsplatz — Deutschland. SafeAlly, safeally.net.</dc:subject>
  <dc:creator>SafeAlly — safeally.net</dc:creator>
  <dc:description>Vereinbarung zur Zusammenarbeit mehrerer Arbeitgeber an einem Arbeitsplatz — Deutschland.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