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SaTitle"/>
      </w:pPr>
      <w:r>
        <w:t xml:space="preserve">Multiple-employer workplace coordination plan</w:t>
      </w:r>
    </w:p>
    <w:p>
      <w:pPr>
        <w:pStyle w:val="SaSubtitle"/>
      </w:pPr>
      <w:r>
        <w:t xml:space="preserve">Canada — the duty is a designation before it is a document. Who is the prime contractor or constructor: section 2.</w:t>
      </w:r>
    </w:p>
    <w:tbl>
      <w:tblPr>
        <w:tblW w:type="dxa" w:w="9972"/>
        <w:tblBorders>
          <w:top w:val="single" w:color="FFC250" w:sz="8"/>
          <w:left w:val="single" w:color="FFC250" w:sz="8"/>
          <w:bottom w:val="single" w:color="FFC250" w:sz="8"/>
          <w:right w:val="single" w:color="FFC250" w:sz="8"/>
          <w:insideH w:val="none" w:color="auto" w:sz="0"/>
          <w:insideV w:val="none" w:color="auto" w:sz="0"/>
        </w:tblBorders>
      </w:tblPr>
      <w:tblGrid>
        <w:gridCol w:w="9972"/>
      </w:tblGrid>
      <w:tr>
        <w:tc>
          <w:tcPr>
            <w:tcW w:type="dxa" w:w="9972"/>
            <w:shd w:fill="FFEED3" w:color="auto" w:val="clear"/>
            <w:tcMar>
              <w:top w:type="dxa" w:w="160"/>
              <w:left w:type="dxa" w:w="200"/>
              <w:bottom w:type="dxa" w:w="160"/>
              <w:right w:type="dxa" w:w="200"/>
            </w:tcMar>
          </w:tcPr>
          <w:p>
            <w:pPr>
              <w:pStyle w:val="SaCell"/>
            </w:pPr>
            <w:r>
              <w:rPr>
                <w:b/>
                <w:bCs/>
              </w:rPr>
              <w:t xml:space="preserve">What this plan is not</w:t>
            </w:r>
          </w:p>
          <w:p>
            <w:pPr>
              <w:pStyle w:val="SaCell"/>
            </w:pPr>
            <w:r>
              <w:t xml:space="preserve">It is not the document Canadian law asks for, because Canadian law asks for a *designation* first: a prime contractor in British Columbia, a constructor on an Ontario project. Get that wrong and a perfect plan sits on top of an unallocated duty. Section 2 settles it. Nothing here is legal advice.</w:t>
            </w:r>
          </w:p>
        </w:tc>
      </w:tr>
    </w:tbl>
    <w:p>
      <w:pPr>
        <w:pStyle w:val="SaChrome"/>
      </w:pPr>
    </w:p>
    <w:p>
      <w:pPr>
        <w:pStyle w:val="SaH1"/>
      </w:pPr>
      <w:r>
        <w:t xml:space="preserve">1. The parties and the work</w:t>
      </w:r>
    </w:p>
    <w:p>
      <w:pPr>
        <w:pStyle w:val="SaBasis"/>
      </w:pPr>
      <w:r>
        <w:t xml:space="preserve">— industry practice, nothing requires it</w:t>
      </w:r>
    </w:p>
    <w:p>
      <w:pPr>
        <w:pStyle w:val="SaBody"/>
      </w:pPr>
      <w:r>
        <w:rPr>
          <w:b w:val="false"/>
          <w:bCs w:val="false"/>
        </w:rPr>
        <w:t xml:space="preserve">Name the people, not only the companies. BC s. 24(2) requires each employer at a multiple-employer workplace to give the prime contractor the name of the person it has designated to supervise its workers there — so that name belongs in this section, not in somebody's inbox.</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92"/>
        <w:gridCol w:w="2393"/>
        <w:gridCol w:w="2592"/>
        <w:gridCol w:w="2395"/>
      </w:tblGrid>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Owner of the workplace</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Site and area covered</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Prime contractor or constructor</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Written agreement designating them?</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[BC: without one, the owner is the prime contractor]</w:t>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Employers working at the site</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Nature of the work</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Planned dates, start and finish</w:t>
            </w:r>
          </w:p>
        </w:tc>
        <w:tc>
          <w:tcPr>
            <w:tcW w:type="dxa" w:w="7380"/>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Supervisor designated by each employer</w:t>
            </w:r>
          </w:p>
        </w:tc>
        <w:tc>
          <w:tcPr>
            <w:tcW w:type="dxa" w:w="7380"/>
            <w:gridSpan w:val="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[BC WCA s. 24(2) — name each one]</w:t>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Notice of project given?</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Hint"/>
            </w:pPr>
            <w:r>
              <w:t xml:space="preserve">[Ontario: in writing to a Director, where prescribed]</w:t>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Workers expected on site</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2. Who holds the coordination duty</w:t>
      </w:r>
    </w:p>
    <w:p>
      <w:pPr>
        <w:pStyle w:val="SaBasis"/>
      </w:pPr>
      <w:r>
        <w:t xml:space="preserve">— required by law</w:t>
      </w:r>
    </w:p>
    <w:p>
      <w:pPr>
        <w:pStyle w:val="SaBody"/>
      </w:pPr>
      <w:r>
        <w:rPr>
          <w:b w:val="false"/>
          <w:bCs w:val="false"/>
        </w:rPr>
        <w:t xml:space="preserve">This is the section that has no equivalent in the European versions of this template. Canada allocates the duty to a named party rather than requiring a document, and the party differs by province and by the kind of work.</w:t>
      </w:r>
    </w:p>
    <w:p>
      <w:pPr>
        <w:pStyle w:val="SaBody"/>
      </w:pPr>
      <w:r>
        <w:rPr>
          <w:b/>
          <w:bCs/>
        </w:rPr>
        <w:t xml:space="preserve">In British Columbia, if there is no written agreement designating a prime contractor, the owner of the workplace is the prime contractor. Silence is a designation.</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1794"/>
        <w:gridCol w:w="5185"/>
        <w:gridCol w:w="2993"/>
      </w:tblGrid>
      <w:tr>
        <w:trPr>
          <w:tblHeader/>
        </w:trPr>
        <w:tc>
          <w:tcPr>
            <w:tcW w:type="dxa" w:w="1794"/>
            <w:shd w:fill="014259" w:color="auto" w:val="clear"/>
            <w:tcMar>
              <w:top w:type="dxa" w:w="60"/>
              <w:left w:type="dxa" w:w="100"/>
              <w:bottom w:type="dxa" w:w="60"/>
              <w:right w:type="dxa" w:w="100"/>
            </w:tcMar>
          </w:tcPr>
          <w:p>
            <w:pPr>
              <w:pStyle w:val="SaCellHeader"/>
            </w:pPr>
            <w:r>
              <w:t xml:space="preserve">Party</w:t>
            </w:r>
          </w:p>
        </w:tc>
        <w:tc>
          <w:tcPr>
            <w:tcW w:type="dxa" w:w="5185"/>
            <w:shd w:fill="014259" w:color="auto" w:val="clear"/>
            <w:tcMar>
              <w:top w:type="dxa" w:w="60"/>
              <w:left w:type="dxa" w:w="100"/>
              <w:bottom w:type="dxa" w:w="60"/>
              <w:right w:type="dxa" w:w="100"/>
            </w:tcMar>
          </w:tcPr>
          <w:p>
            <w:pPr>
              <w:pStyle w:val="SaCellHeader"/>
            </w:pPr>
            <w:r>
              <w:t xml:space="preserve">Duty</w:t>
            </w:r>
          </w:p>
        </w:tc>
        <w:tc>
          <w:tcPr>
            <w:tcW w:type="dxa" w:w="2993"/>
            <w:shd w:fill="014259" w:color="auto" w:val="clear"/>
            <w:tcMar>
              <w:top w:type="dxa" w:w="60"/>
              <w:left w:type="dxa" w:w="100"/>
              <w:bottom w:type="dxa" w:w="60"/>
              <w:right w:type="dxa" w:w="100"/>
            </w:tcMar>
          </w:tcPr>
          <w:p>
            <w:pPr>
              <w:pStyle w:val="SaCellHeader"/>
            </w:pPr>
            <w:r>
              <w:t xml:space="preserve">Basis</w:t>
            </w:r>
          </w:p>
        </w:tc>
      </w:tr>
      <w:tr>
        <w:tc>
          <w:tcPr>
            <w:tcW w:type="dxa" w:w="1794"/>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Prime contractor (BC)</w:t>
            </w:r>
          </w:p>
        </w:tc>
        <w:tc>
          <w:tcPr>
            <w:tcW w:type="dxa" w:w="51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Ensure the OHS activities of employers, workers and other persons at the workplace are coordinated, and do everything reasonably practicable to establish and maintain a system or process ensuring compliance with the OHS provisions and the regulations.</w:t>
            </w:r>
          </w:p>
        </w:tc>
        <w:tc>
          <w:tcPr>
            <w:tcW w:type="dxa" w:w="299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BC WCA, s. 24(1)</w:t>
            </w:r>
          </w:p>
        </w:tc>
      </w:tr>
      <w:tr>
        <w:tc>
          <w:tcPr>
            <w:tcW w:type="dxa" w:w="1794"/>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Each employer (BC)</w:t>
            </w:r>
          </w:p>
        </w:tc>
        <w:tc>
          <w:tcPr>
            <w:tcW w:type="dxa" w:w="51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Give the prime contractor the name of the person designated to supervise that employer's workers at the workplace.</w:t>
            </w:r>
          </w:p>
        </w:tc>
        <w:tc>
          <w:tcPr>
            <w:tcW w:type="dxa" w:w="299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BC WCA, s. 24(2)</w:t>
            </w:r>
          </w:p>
        </w:tc>
      </w:tr>
      <w:tr>
        <w:tc>
          <w:tcPr>
            <w:tcW w:type="dxa" w:w="1794"/>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Owner (BC)</w:t>
            </w:r>
          </w:p>
        </w:tc>
        <w:tc>
          <w:tcPr>
            <w:tcW w:type="dxa" w:w="51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Give the employer or prime contractor the information known to the owner that is necessary to identify and eliminate or control hazards to health or safety at the workplace.</w:t>
            </w:r>
          </w:p>
        </w:tc>
        <w:tc>
          <w:tcPr>
            <w:tcW w:type="dxa" w:w="299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BC WCA, s. 25(b)</w:t>
            </w:r>
          </w:p>
        </w:tc>
      </w:tr>
      <w:tr>
        <w:tc>
          <w:tcPr>
            <w:tcW w:type="dxa" w:w="1794"/>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Constructor (Ontario)</w:t>
            </w:r>
          </w:p>
        </w:tc>
        <w:tc>
          <w:tcPr>
            <w:tcW w:type="dxa" w:w="5185"/>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Ensure the measures and procedures prescribed by the Act and regulations are carried out on the project, that every employer and worker on the project complies, and that the health and safety of workers on the project is protected. Notice of project in writing to a Director before commencing work, where prescribed.</w:t>
            </w:r>
          </w:p>
        </w:tc>
        <w:tc>
          <w:tcPr>
            <w:tcW w:type="dxa" w:w="2993"/>
            <w:tcBorders>
              <w:top w:val="single" w:color="BDE1F3" w:sz="4"/>
              <w:left w:val="single" w:color="BDE1F3" w:sz="4"/>
              <w:bottom w:val="single" w:color="BDE1F3" w:sz="4"/>
              <w:right w:val="single" w:color="BDE1F3" w:sz="4"/>
            </w:tcBorders>
            <w:tcMar>
              <w:top w:type="dxa" w:w="60"/>
              <w:left w:type="dxa" w:w="100"/>
              <w:bottom w:type="dxa" w:w="60"/>
              <w:right w:type="dxa" w:w="100"/>
            </w:tcMar>
          </w:tcPr>
          <w:p>
            <w:pPr>
              <w:pStyle w:val="SaCell"/>
            </w:pPr>
            <w:r>
              <w:t xml:space="preserve">Ontario OHSA, s. 23</w:t>
            </w:r>
          </w:p>
        </w:tc>
      </w:tr>
    </w:tbl>
    <w:p>
      <w:pPr>
        <w:pStyle w:val="SaNote"/>
      </w:pPr>
      <w:r>
        <w:t xml:space="preserve">Alberta and Quebec allocate coordination duties in their own terms — the Alberta prime contractor and Quebec's own regime — and neither is set out here, for the same reason the deadline calculator on the incident report covers two provinces: a duty guessed from a neighbouring jurisdiction is worse than none.</w:t>
      </w:r>
    </w:p>
    <w:p>
      <w:pPr>
        <w:pStyle w:val="SaH1"/>
      </w:pPr>
      <w:r>
        <w:t xml:space="preserve">3. Walk the site together before work starts</w:t>
      </w:r>
    </w:p>
    <w:p>
      <w:pPr>
        <w:pStyle w:val="SaBasis"/>
      </w:pPr>
      <w:r>
        <w:t xml:space="preserve">— industry practice, nothing requires it</w:t>
      </w:r>
    </w:p>
    <w:p>
      <w:pPr>
        <w:pStyle w:val="SaBody"/>
      </w:pPr>
      <w:r>
        <w:rPr>
          <w:b w:val="false"/>
          <w:bCs w:val="false"/>
        </w:rPr>
        <w:t xml:space="preserve">No Canadian provision requires a joint pre-start walk in these words. It is here because BC s. 25(b) makes the owner's *information* a duty and s. 24(1) makes coordination a duty, and neither is satisfiable from an office. France requires exactly this walk by name, which is worth knowing if you work for a French group.</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2592"/>
        <w:gridCol w:w="2393"/>
        <w:gridCol w:w="2592"/>
        <w:gridCol w:w="2395"/>
      </w:tblGrid>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Date of the joint walk</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Areas covered</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Present for the owner or prime contractor</w:t>
            </w:r>
          </w:p>
        </w:tc>
        <w:tc>
          <w:tcPr>
            <w:tcW w:type="dxa" w:w="2393"/>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none" w:color="auto" w:sz="0"/>
              <w:left w:val="none" w:color="auto" w:sz="0"/>
              <w:bottom w:val="none" w:color="auto" w:sz="0"/>
              <w:right w:val="none" w:color="auto" w:sz="0"/>
            </w:tcBorders>
            <w:tcMar>
              <w:top w:type="dxa" w:w="80"/>
              <w:left w:type="dxa" w:w="0"/>
              <w:bottom w:type="dxa" w:w="80"/>
              <w:right w:type="dxa" w:w="120"/>
            </w:tcMar>
            <w:vAlign w:val="center"/>
          </w:tcPr>
          <w:p>
            <w:pPr>
              <w:pStyle w:val="SaCell"/>
            </w:pPr>
            <w:r>
              <w:rPr>
                <w:b/>
                <w:bCs/>
              </w:rPr>
              <w:t xml:space="preserve">Present for each employer</w:t>
            </w:r>
          </w:p>
        </w:tc>
        <w:tc>
          <w:tcPr>
            <w:tcW w:type="dxa" w:w="23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00"/>
        <w:gridCol w:w="9572"/>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Work areas marked out on the ground, not only on a drawing.</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Traffic routes, access and parking shown.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Plant and equipment that stays in service during the work identified.</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Emergency procedures, alarm, muster points and first aid arrangements given.</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Hazards known to the owner passed on.</w:t>
            </w:r>
          </w:p>
          <w:p>
            <w:pPr>
              <w:pStyle w:val="SaHint"/>
            </w:pPr>
            <w:r>
              <w:t xml:space="preserve">BC WCA s. 25(b) — the information the owner knows and the contractor cannot.</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Special-hazard areas flagged: confined spaces, hazardous energy, hazardous products, work at height, hot work.</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Washroom and welfare facilities agreed.</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Contact names and means of communication exchanged.</w:t>
            </w:r>
          </w:p>
        </w:tc>
      </w:tr>
    </w:tbl>
    <w:p>
      <w:pPr>
        <w:pStyle w:val="SaChrome"/>
      </w:pPr>
    </w:p>
    <w:p>
      <w:r>
        <w:br w:type="page"/>
      </w:r>
    </w:p>
    <w:p>
      <w:pPr>
        <w:pStyle w:val="SaH1"/>
      </w:pPr>
      <w:r>
        <w:t xml:space="preserve">4. Hazards created by working alongside each other</w:t>
      </w:r>
    </w:p>
    <w:p>
      <w:pPr>
        <w:pStyle w:val="SaBasis"/>
      </w:pPr>
      <w:r>
        <w:t xml:space="preserve">— required by law</w:t>
      </w:r>
    </w:p>
    <w:p>
      <w:pPr>
        <w:pStyle w:val="SaBody"/>
      </w:pPr>
      <w:r>
        <w:rPr>
          <w:b w:val="false"/>
          <w:bCs w:val="false"/>
        </w:rPr>
        <w:t xml:space="preserve">This plan is not about each employer's own hazards — each handles those in its own hazard assessment. It is about what the overlap creates, and that is the distinction most contractor packs miss by copying generic hazards that are nobody's interface.</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98"/>
        <w:gridCol w:w="2592"/>
        <w:gridCol w:w="1396"/>
        <w:gridCol w:w="2592"/>
        <w:gridCol w:w="1495"/>
        <w:gridCol w:w="1399"/>
      </w:tblGrid>
      <w:tr>
        <w:trPr>
          <w:tblHeader/>
        </w:trPr>
        <w:tc>
          <w:tcPr>
            <w:tcW w:type="dxa" w:w="498"/>
            <w:shd w:fill="014259" w:color="auto" w:val="clear"/>
            <w:tcMar>
              <w:top w:type="dxa" w:w="60"/>
              <w:left w:type="dxa" w:w="100"/>
              <w:bottom w:type="dxa" w:w="60"/>
              <w:right w:type="dxa" w:w="100"/>
            </w:tcMar>
          </w:tcPr>
          <w:p>
            <w:pPr>
              <w:pStyle w:val="SaCellHeader"/>
            </w:pPr>
            <w:r>
              <w:t xml:space="preserve">No.</w:t>
            </w:r>
          </w:p>
        </w:tc>
        <w:tc>
          <w:tcPr>
            <w:tcW w:type="dxa" w:w="2592"/>
            <w:shd w:fill="014259" w:color="auto" w:val="clear"/>
            <w:tcMar>
              <w:top w:type="dxa" w:w="60"/>
              <w:left w:type="dxa" w:w="100"/>
              <w:bottom w:type="dxa" w:w="60"/>
              <w:right w:type="dxa" w:w="100"/>
            </w:tcMar>
          </w:tcPr>
          <w:p>
            <w:pPr>
              <w:pStyle w:val="SaCellHeader"/>
            </w:pPr>
            <w:r>
              <w:t xml:space="preserve">Interface hazard</w:t>
            </w:r>
          </w:p>
        </w:tc>
        <w:tc>
          <w:tcPr>
            <w:tcW w:type="dxa" w:w="1396"/>
            <w:shd w:fill="014259" w:color="auto" w:val="clear"/>
            <w:tcMar>
              <w:top w:type="dxa" w:w="60"/>
              <w:left w:type="dxa" w:w="100"/>
              <w:bottom w:type="dxa" w:w="60"/>
              <w:right w:type="dxa" w:w="100"/>
            </w:tcMar>
          </w:tcPr>
          <w:p>
            <w:pPr>
              <w:pStyle w:val="SaCellHeader"/>
            </w:pPr>
            <w:r>
              <w:t xml:space="preserve">Who is exposed</w:t>
            </w:r>
          </w:p>
        </w:tc>
        <w:tc>
          <w:tcPr>
            <w:tcW w:type="dxa" w:w="2592"/>
            <w:shd w:fill="014259" w:color="auto" w:val="clear"/>
            <w:tcMar>
              <w:top w:type="dxa" w:w="60"/>
              <w:left w:type="dxa" w:w="100"/>
              <w:bottom w:type="dxa" w:w="60"/>
              <w:right w:type="dxa" w:w="100"/>
            </w:tcMar>
          </w:tcPr>
          <w:p>
            <w:pPr>
              <w:pStyle w:val="SaCellHeader"/>
            </w:pPr>
            <w:r>
              <w:t xml:space="preserve">Control decided</w:t>
            </w:r>
          </w:p>
        </w:tc>
        <w:tc>
          <w:tcPr>
            <w:tcW w:type="dxa" w:w="1495"/>
            <w:shd w:fill="014259" w:color="auto" w:val="clear"/>
            <w:tcMar>
              <w:top w:type="dxa" w:w="60"/>
              <w:left w:type="dxa" w:w="100"/>
              <w:bottom w:type="dxa" w:w="60"/>
              <w:right w:type="dxa" w:w="100"/>
            </w:tcMar>
          </w:tcPr>
          <w:p>
            <w:pPr>
              <w:pStyle w:val="SaCellHeader"/>
            </w:pPr>
            <w:r>
              <w:t xml:space="preserve">Owned by</w:t>
            </w:r>
          </w:p>
        </w:tc>
        <w:tc>
          <w:tcPr>
            <w:tcW w:type="dxa" w:w="1399"/>
            <w:shd w:fill="014259" w:color="auto" w:val="clear"/>
            <w:tcMar>
              <w:top w:type="dxa" w:w="60"/>
              <w:left w:type="dxa" w:w="100"/>
              <w:bottom w:type="dxa" w:w="60"/>
              <w:right w:type="dxa" w:w="100"/>
            </w:tcMar>
          </w:tcPr>
          <w:p>
            <w:pPr>
              <w:pStyle w:val="SaCellHeader"/>
            </w:pPr>
            <w:r>
              <w:t xml:space="preserve">Before / during</w:t>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4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4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9"/>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Note"/>
      </w:pPr>
      <w:r>
        <w:t xml:space="preserve">The “owned by” column is the reason this document exists. A control agreed jointly and assigned to nobody is a control each company believes the other is doing — the classic multiple-employer failure, and it is visible on the page.</w:t>
      </w:r>
    </w:p>
    <w:p>
      <w:pPr>
        <w:pStyle w:val="SaH1"/>
      </w:pPr>
      <w:r>
        <w:t xml:space="preserve">5. Coordination while the work runs</w:t>
      </w:r>
    </w:p>
    <w:p>
      <w:pPr>
        <w:pStyle w:val="SaBasis"/>
      </w:pPr>
      <w:r>
        <w:t xml:space="preserve">— required by law</w:t>
      </w:r>
    </w:p>
    <w:p>
      <w:pPr>
        <w:pStyle w:val="SaBody"/>
      </w:pPr>
      <w:r>
        <w:rPr>
          <w:b w:val="false"/>
          <w:bCs w:val="false"/>
        </w:rPr>
        <w:t xml:space="preserve">Coordination is a continuing duty, not a pre-start formality. BC s. 24(1)(b) asks for a system or process that is established **and maintained** — the second verb is the one that gets dropped.</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00"/>
        <w:gridCol w:w="9572"/>
      </w:tblGrid>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Coordination plan available on site for the duration of the work.</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Notice of project given in writing before work commenced, where prescribed.</w:t>
            </w:r>
          </w:p>
          <w:p>
            <w:pPr>
              <w:pStyle w:val="SaHint"/>
            </w:pPr>
            <w:r>
              <w:t xml:space="preserve">Ontario OHSA s. 23(2).</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Joint committee or worker representatives at the site informed of the work.</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New employers or subcontractors brought into the plan before they arrive.</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Regular coordination meeting held, with a written record.</w:t>
            </w:r>
          </w:p>
        </w:tc>
      </w:tr>
      <w:tr>
        <w:trPr>
          <w:trHeight w:val="400" w:hRule="atLeast"/>
        </w:trPr>
        <w:tc>
          <w:tcPr>
            <w:tcW w:type="dxa" w:w="400"/>
            <w:tcBorders>
              <w:top w:val="single" w:color="005674" w:sz="6"/>
              <w:left w:val="single" w:color="005674" w:sz="6"/>
              <w:bottom w:val="single" w:color="005674" w:sz="6"/>
              <w:right w:val="single" w:color="005674" w:sz="6"/>
            </w:tcBorders>
            <w:tcMar>
              <w:top w:type="dxa" w:w="40"/>
              <w:left w:type="dxa" w:w="40"/>
              <w:bottom w:type="dxa" w:w="40"/>
              <w:right w:type="dxa" w:w="40"/>
            </w:tcMar>
          </w:tcPr>
          <w:p>
            <w:pPr>
              <w:pStyle w:val="SaCell"/>
            </w:pPr>
            <w:r>
              <w:t xml:space="preserve"/>
            </w:r>
          </w:p>
        </w:tc>
        <w:tc>
          <w:tcPr>
            <w:tcW w:type="dxa" w:w="9572"/>
            <w:tcBorders>
              <w:top w:val="none" w:color="auto" w:sz="0"/>
              <w:left w:val="none" w:color="auto" w:sz="0"/>
              <w:bottom w:val="none" w:color="auto" w:sz="0"/>
              <w:right w:val="none" w:color="auto" w:sz="0"/>
            </w:tcBorders>
            <w:tcMar>
              <w:top w:type="dxa" w:w="60"/>
              <w:left w:type="dxa" w:w="160"/>
              <w:bottom w:type="dxa" w:w="60"/>
              <w:right w:type="dxa" w:w="0"/>
            </w:tcMar>
            <w:vAlign w:val="center"/>
          </w:tcPr>
          <w:p>
            <w:pPr>
              <w:pStyle w:val="SaCell"/>
            </w:pPr>
            <w:r>
              <w:t xml:space="preserve">Changes in scope triggering a fresh joint walk.</w:t>
            </w:r>
          </w:p>
        </w:tc>
      </w:tr>
    </w:tbl>
    <w:p>
      <w:pPr>
        <w:pStyle w:val="SaChrome"/>
      </w:pPr>
    </w:p>
    <w:p>
      <w:pPr>
        <w:pStyle w:val="SaH1"/>
      </w:pPr>
      <w:r>
        <w:t xml:space="preserve">6. Changes and closure</w:t>
      </w:r>
    </w:p>
    <w:p>
      <w:pPr>
        <w:pStyle w:val="SaBasis"/>
      </w:pPr>
      <w:r>
        <w:t xml:space="preserve">— industry practice, nothing requires it</w:t>
      </w:r>
    </w:p>
    <w:p>
      <w:pPr>
        <w:pStyle w:val="SaBody"/>
      </w:pPr>
      <w:r>
        <w:rPr>
          <w:b w:val="false"/>
          <w:bCs w:val="false"/>
        </w:rPr>
        <w:t xml:space="preserve">Nothing requires this table. It is here because work that lasts changes, and a plan signed in January and never reopened describes a job that no longer exists.</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1096"/>
        <w:gridCol w:w="3191"/>
        <w:gridCol w:w="1695"/>
        <w:gridCol w:w="2592"/>
        <w:gridCol w:w="1398"/>
      </w:tblGrid>
      <w:tr>
        <w:trPr>
          <w:tblHeader/>
        </w:trPr>
        <w:tc>
          <w:tcPr>
            <w:tcW w:type="dxa" w:w="1096"/>
            <w:shd w:fill="014259" w:color="auto" w:val="clear"/>
            <w:tcMar>
              <w:top w:type="dxa" w:w="60"/>
              <w:left w:type="dxa" w:w="100"/>
              <w:bottom w:type="dxa" w:w="60"/>
              <w:right w:type="dxa" w:w="100"/>
            </w:tcMar>
          </w:tcPr>
          <w:p>
            <w:pPr>
              <w:pStyle w:val="SaCellHeader"/>
            </w:pPr>
            <w:r>
              <w:t xml:space="preserve">Date</w:t>
            </w:r>
          </w:p>
        </w:tc>
        <w:tc>
          <w:tcPr>
            <w:tcW w:type="dxa" w:w="3191"/>
            <w:shd w:fill="014259" w:color="auto" w:val="clear"/>
            <w:tcMar>
              <w:top w:type="dxa" w:w="60"/>
              <w:left w:type="dxa" w:w="100"/>
              <w:bottom w:type="dxa" w:w="60"/>
              <w:right w:type="dxa" w:w="100"/>
            </w:tcMar>
          </w:tcPr>
          <w:p>
            <w:pPr>
              <w:pStyle w:val="SaCellHeader"/>
            </w:pPr>
            <w:r>
              <w:t xml:space="preserve">Change in the work</w:t>
            </w:r>
          </w:p>
        </w:tc>
        <w:tc>
          <w:tcPr>
            <w:tcW w:type="dxa" w:w="1695"/>
            <w:shd w:fill="014259" w:color="auto" w:val="clear"/>
            <w:tcMar>
              <w:top w:type="dxa" w:w="60"/>
              <w:left w:type="dxa" w:w="100"/>
              <w:bottom w:type="dxa" w:w="60"/>
              <w:right w:type="dxa" w:w="100"/>
            </w:tcMar>
          </w:tcPr>
          <w:p>
            <w:pPr>
              <w:pStyle w:val="SaCellHeader"/>
            </w:pPr>
            <w:r>
              <w:t xml:space="preserve">Fresh joint walk?</w:t>
            </w:r>
          </w:p>
        </w:tc>
        <w:tc>
          <w:tcPr>
            <w:tcW w:type="dxa" w:w="2592"/>
            <w:shd w:fill="014259" w:color="auto" w:val="clear"/>
            <w:tcMar>
              <w:top w:type="dxa" w:w="60"/>
              <w:left w:type="dxa" w:w="100"/>
              <w:bottom w:type="dxa" w:w="60"/>
              <w:right w:type="dxa" w:w="100"/>
            </w:tcMar>
          </w:tcPr>
          <w:p>
            <w:pPr>
              <w:pStyle w:val="SaCellHeader"/>
            </w:pPr>
            <w:r>
              <w:t xml:space="preserve">Controls added</w:t>
            </w:r>
          </w:p>
        </w:tc>
        <w:tc>
          <w:tcPr>
            <w:tcW w:type="dxa" w:w="1398"/>
            <w:shd w:fill="014259" w:color="auto" w:val="clear"/>
            <w:tcMar>
              <w:top w:type="dxa" w:w="60"/>
              <w:left w:type="dxa" w:w="100"/>
              <w:bottom w:type="dxa" w:w="60"/>
              <w:right w:type="dxa" w:w="100"/>
            </w:tcMar>
          </w:tcPr>
          <w:p>
            <w:pPr>
              <w:pStyle w:val="SaCellHeader"/>
            </w:pPr>
            <w:r>
              <w:t xml:space="preserve">Initialled by both</w:t>
            </w:r>
          </w:p>
        </w:tc>
      </w:tr>
      <w:tr>
        <w:trPr>
          <w:trHeight w:val="460" w:hRule="atLeast"/>
        </w:trPr>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1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1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1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1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1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1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1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r>
        <w:trPr>
          <w:trHeight w:val="460" w:hRule="atLeast"/>
        </w:trPr>
        <w:tc>
          <w:tcPr>
            <w:tcW w:type="dxa" w:w="109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3191"/>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695"/>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2592"/>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1398"/>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1"/>
      </w:pPr>
      <w:r>
        <w:t xml:space="preserve">7. Sign-off</w:t>
      </w:r>
    </w:p>
    <w:p>
      <w:pPr>
        <w:pStyle w:val="SaBasis"/>
      </w:pPr>
      <w:r>
        <w:t xml:space="preserve">— industry practice, nothing requires it</w:t>
      </w:r>
    </w:p>
    <w:p>
      <w:pPr>
        <w:pStyle w:val="SaBody"/>
      </w:pPr>
      <w:r>
        <w:rPr>
          <w:b w:val="false"/>
          <w:bCs w:val="false"/>
        </w:rPr>
        <w:t xml:space="preserve">More than one employer, more than one signature. And the signature does not transfer a duty: each employer keeps responsibility for its own workers, whatever the prime contractor coordinates.</w:t>
      </w: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986"/>
        <w:gridCol w:w="4986"/>
      </w:tblGrid>
      <w:tr>
        <w:tc>
          <w:tcPr>
            <w:tcW w:type="dxa" w:w="4986"/>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For the owner or prime contractor</w:t>
            </w:r>
          </w:p>
          <w:p>
            <w:pPr>
              <w:pStyle w:val="SaHint"/>
            </w:pPr>
            <w:r>
              <w:t xml:space="preserve">Name, title, date</w:t>
            </w:r>
          </w:p>
        </w:tc>
        <w:tc>
          <w:tcPr>
            <w:tcW w:type="dxa" w:w="4986"/>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For the employer</w:t>
            </w:r>
          </w:p>
          <w:p>
            <w:pPr>
              <w:pStyle w:val="SaHint"/>
            </w:pPr>
            <w:r>
              <w:t xml:space="preserve">Name, title, date</w:t>
            </w:r>
          </w:p>
        </w:tc>
      </w:tr>
      <w:tr>
        <w:trPr>
          <w:trHeight w:val="1100" w:hRule="atLeast"/>
        </w:trPr>
        <w:tc>
          <w:tcPr>
            <w:tcW w:type="dxa" w:w="498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98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tbl>
      <w:tblPr>
        <w:tblW w:type="dxa" w:w="9972"/>
        <w:tblBorders>
          <w:top w:val="none" w:color="auto" w:sz="0"/>
          <w:left w:val="none" w:color="auto" w:sz="0"/>
          <w:bottom w:val="none" w:color="auto" w:sz="0"/>
          <w:right w:val="none" w:color="auto" w:sz="0"/>
          <w:insideH w:val="none" w:color="auto" w:sz="0"/>
          <w:insideV w:val="none" w:color="auto" w:sz="0"/>
        </w:tblBorders>
      </w:tblPr>
      <w:tblGrid>
        <w:gridCol w:w="4986"/>
        <w:gridCol w:w="4986"/>
      </w:tblGrid>
      <w:tr>
        <w:tc>
          <w:tcPr>
            <w:tcW w:type="dxa" w:w="4986"/>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For any subcontractor</w:t>
            </w:r>
          </w:p>
          <w:p>
            <w:pPr>
              <w:pStyle w:val="SaHint"/>
            </w:pPr>
            <w:r>
              <w:t xml:space="preserve">Name, company, date</w:t>
            </w:r>
          </w:p>
        </w:tc>
        <w:tc>
          <w:tcPr>
            <w:tcW w:type="dxa" w:w="4986"/>
            <w:tcBorders>
              <w:top w:val="none" w:color="auto" w:sz="0"/>
              <w:left w:val="none" w:color="auto" w:sz="0"/>
              <w:bottom w:val="none" w:color="auto" w:sz="0"/>
              <w:right w:val="none" w:color="auto" w:sz="0"/>
            </w:tcBorders>
            <w:tcMar>
              <w:top w:type="dxa" w:w="80"/>
              <w:left w:type="dxa" w:w="0"/>
              <w:bottom w:type="dxa" w:w="40"/>
              <w:right w:type="dxa" w:w="160"/>
            </w:tcMar>
          </w:tcPr>
          <w:p>
            <w:pPr>
              <w:pStyle w:val="SaCell"/>
            </w:pPr>
            <w:r>
              <w:rPr>
                <w:b/>
                <w:bCs/>
              </w:rPr>
              <w:t xml:space="preserve">Other party</w:t>
            </w:r>
          </w:p>
          <w:p>
            <w:pPr>
              <w:pStyle w:val="SaHint"/>
            </w:pPr>
            <w:r>
              <w:t xml:space="preserve">If applicable</w:t>
            </w:r>
          </w:p>
        </w:tc>
      </w:tr>
      <w:tr>
        <w:trPr>
          <w:trHeight w:val="1100" w:hRule="atLeast"/>
        </w:trPr>
        <w:tc>
          <w:tcPr>
            <w:tcW w:type="dxa" w:w="498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c>
          <w:tcPr>
            <w:tcW w:type="dxa" w:w="4986"/>
            <w:tcBorders>
              <w:top w:val="single" w:color="BDE1F3" w:sz="4"/>
              <w:left w:val="single" w:color="BDE1F3" w:sz="4"/>
              <w:bottom w:val="single" w:color="BDE1F3" w:sz="4"/>
              <w:right w:val="single" w:color="BDE1F3" w:sz="4"/>
            </w:tcBorders>
            <w:shd w:fill="F0F8FD" w:color="auto" w:val="clear"/>
            <w:tcMar>
              <w:top w:type="dxa" w:w="60"/>
              <w:left w:type="dxa" w:w="100"/>
              <w:bottom w:type="dxa" w:w="60"/>
              <w:right w:type="dxa" w:w="100"/>
            </w:tcMar>
            <w:vAlign w:val="top"/>
          </w:tcPr>
          <w:p>
            <w:pPr>
              <w:pStyle w:val="SaCell"/>
            </w:pPr>
            <w:r>
              <w:t xml:space="preserve"/>
            </w:r>
          </w:p>
        </w:tc>
      </w:tr>
    </w:tbl>
    <w:p>
      <w:pPr>
        <w:pStyle w:val="SaChrome"/>
      </w:pPr>
    </w:p>
    <w:p>
      <w:pPr>
        <w:pStyle w:val="SaH2"/>
      </w:pPr>
      <w:r>
        <w:t xml:space="preserve">Sources</w:t>
      </w:r>
    </w:p>
    <w:p>
      <w:pPr>
        <w:pStyle w:val="ListParagraph"/>
        <w:pStyle w:val="SaNote"/>
        <w:numPr>
          <w:ilvl w:val="0"/>
          <w:numId w:val="1"/>
        </w:numPr>
      </w:pPr>
      <w:r>
        <w:t xml:space="preserve">BC Workers Compensation Act, Part 2 — ss. 24 and 25, coordination and owners' duties — </w:t>
      </w:r>
      <w:hyperlink w:history="1" r:id="rIdugchjpcpjjb64ofrx4i-0">
        <w:r>
          <w:rPr>
            <w:color w:val="005674"/>
            <w:u w:val="single"/>
          </w:rPr>
          <w:t xml:space="preserve">https://www.worksafebc.com/en/law-policy/occupational-health-safety/searchable-ohs-regulation/workers-compensation-act/part-2-occupational-health-and-safety</w:t>
        </w:r>
      </w:hyperlink>
    </w:p>
    <w:p>
      <w:pPr>
        <w:pStyle w:val="ListParagraph"/>
        <w:pStyle w:val="SaNote"/>
        <w:numPr>
          <w:ilvl w:val="0"/>
          <w:numId w:val="1"/>
        </w:numPr>
      </w:pPr>
      <w:r>
        <w:t xml:space="preserve">Ontario OHSA, s. 23 — duties of constructor and notice of project — </w:t>
      </w:r>
      <w:hyperlink w:history="1" r:id="rIdqekna5ayf5xr8h89_usdt">
        <w:r>
          <w:rPr>
            <w:color w:val="005674"/>
            <w:u w:val="single"/>
          </w:rPr>
          <w:t xml:space="preserve">https://www.ontario.ca/laws/statute/90o01</w:t>
        </w:r>
      </w:hyperlink>
    </w:p>
    <w:p>
      <w:pPr>
        <w:pStyle w:val="SaNote"/>
      </w:pPr>
      <w:r>
        <w:rPr>
          <w:b w:val="false"/>
          <w:bCs w:val="false"/>
        </w:rPr>
        <w:t xml:space="preserve">Content last reviewed 2026-09-08 · This template's page — https://safeally.net/en-ca/templates/multiple-employer-coordination-plan/</w:t>
      </w:r>
    </w:p>
    <w:p>
      <w:pPr>
        <w:pStyle w:val="SaNote"/>
      </w:pPr>
      <w:r>
        <w:rPr>
          <w:b w:val="false"/>
          <w:bCs w:val="false"/>
        </w:rPr>
        <w:t xml:space="preserve">SafeAlly — safeally.net · free, no account, editable document</w:t>
      </w:r>
    </w:p>
    <w:sectPr>
      <w:headerReference w:type="default" r:id="rId7"/>
      <w:footerReference w:type="default" r:id="rId8"/>
      <w:pgSz w:w="12240" w:h="15840" w:orient="portrait"/>
      <w:pgMar w:top="1134" w:right="1134" w:bottom="1134" w:left="1134"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aChrome"/>
      <w:pBdr>
        <w:top w:val="single" w:color="BDE1F3" w:sz="4"/>
      </w:pBdr>
      <w:tabs>
        <w:tab w:val="right" w:pos="9972"/>
      </w:tabs>
    </w:pPr>
    <w:r>
      <w:t xml:space="preserve">Content last reviewed 2026-09-08 · safeally.net</w:t>
    </w:r>
    <w:r>
      <w:t xml:space="preserve">	</w:t>
      <w:t xml:space="preserve">Page </w:t>
      <w:fldChar w:fldCharType="begin"/>
      <w:instrText xml:space="preserve">PAGE</w:instrText>
      <w:fldChar w:fldCharType="separate"/>
      <w:fldChar w:fldCharType="end"/>
    </w:r>
    <w:r>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SaChrome"/>
      <w:pBdr>
        <w:bottom w:val="single" w:color="BDE1F3" w:sz="4"/>
      </w:pBdr>
    </w:pPr>
    <w:r>
      <w:t xml:space="preserve">Coordination plan — job no. …………… — from ……/……/……… to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21D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aTitle">
    <w:name w:val="SafeAlly Title"/>
    <w:basedOn w:val="Normal"/>
    <w:next w:val="SaSubtitle"/>
    <w:qFormat/>
    <w:pPr>
      <w:spacing w:after="60"/>
    </w:pPr>
    <w:rPr>
      <w:b/>
      <w:bCs/>
      <w:color w:val="014259"/>
      <w:sz w:val="32"/>
      <w:szCs w:val="32"/>
    </w:rPr>
  </w:style>
  <w:style w:type="paragraph" w:styleId="SaSubtitle">
    <w:name w:val="SafeAlly Subtitle"/>
    <w:basedOn w:val="Normal"/>
    <w:next w:val="SaBody"/>
    <w:qFormat/>
    <w:pPr>
      <w:pBdr>
        <w:bottom w:val="single" w:color="FFC250" w:sz="12"/>
      </w:pBdr>
      <w:spacing w:after="240"/>
    </w:pPr>
    <w:rPr>
      <w:color w:val="005674"/>
      <w:sz w:val="20"/>
      <w:szCs w:val="20"/>
    </w:rPr>
  </w:style>
  <w:style w:type="paragraph" w:styleId="SaH1">
    <w:name w:val="SafeAlly Heading 1"/>
    <w:basedOn w:val="Normal"/>
    <w:next w:val="SaBody"/>
    <w:qFormat/>
    <w:pPr>
      <w:keepNext/>
      <w:pBdr>
        <w:bottom w:val="single" w:color="BDE1F3" w:sz="6"/>
      </w:pBdr>
      <w:spacing w:after="40" w:before="320"/>
    </w:pPr>
    <w:rPr>
      <w:b/>
      <w:bCs/>
      <w:color w:val="014259"/>
      <w:sz w:val="24"/>
      <w:szCs w:val="24"/>
    </w:rPr>
  </w:style>
  <w:style w:type="paragraph" w:styleId="SaH2">
    <w:name w:val="SafeAlly Heading 2"/>
    <w:basedOn w:val="Normal"/>
    <w:next w:val="SaBody"/>
    <w:qFormat/>
    <w:pPr>
      <w:keepNext/>
      <w:spacing w:after="40" w:before="240"/>
    </w:pPr>
    <w:rPr>
      <w:b/>
      <w:bCs/>
      <w:color w:val="005674"/>
      <w:sz w:val="21"/>
      <w:szCs w:val="21"/>
    </w:rPr>
  </w:style>
  <w:style w:type="paragraph" w:styleId="SaBody">
    <w:name w:val="SafeAlly Body"/>
    <w:basedOn w:val="Normal"/>
    <w:next w:val="SaBody"/>
    <w:qFormat/>
    <w:pPr>
      <w:spacing w:after="120" w:line="264"/>
    </w:pPr>
    <w:rPr>
      <w:color w:val="021D28"/>
      <w:sz w:val="20"/>
      <w:szCs w:val="20"/>
    </w:rPr>
  </w:style>
  <w:style w:type="paragraph" w:styleId="SaBasis">
    <w:name w:val="SafeAlly Basis"/>
    <w:basedOn w:val="Normal"/>
    <w:next w:val="SaBody"/>
    <w:pPr>
      <w:keepNext/>
      <w:spacing w:after="140"/>
    </w:pPr>
    <w:rPr>
      <w:i/>
      <w:iCs/>
      <w:color w:val="005674"/>
      <w:sz w:val="16"/>
      <w:szCs w:val="16"/>
    </w:rPr>
  </w:style>
  <w:style w:type="paragraph" w:styleId="SaNote">
    <w:name w:val="SafeAlly Note"/>
    <w:basedOn w:val="Normal"/>
    <w:next w:val="SaBody"/>
    <w:pPr>
      <w:spacing w:after="160"/>
    </w:pPr>
    <w:rPr>
      <w:color w:val="053143"/>
      <w:sz w:val="16"/>
      <w:szCs w:val="16"/>
    </w:rPr>
  </w:style>
  <w:style w:type="paragraph" w:styleId="SaCell">
    <w:name w:val="SafeAlly Cell"/>
    <w:basedOn w:val="Normal"/>
    <w:next w:val="SaCell"/>
    <w:pPr>
      <w:spacing w:after="40" w:before="40"/>
    </w:pPr>
    <w:rPr>
      <w:color w:val="021D28"/>
      <w:sz w:val="19"/>
      <w:szCs w:val="19"/>
    </w:rPr>
  </w:style>
  <w:style w:type="paragraph" w:styleId="SaCellHeader">
    <w:name w:val="SafeAlly Cell Header"/>
    <w:basedOn w:val="Normal"/>
    <w:next w:val="SaCell"/>
    <w:pPr>
      <w:spacing w:after="60" w:before="60"/>
    </w:pPr>
    <w:rPr>
      <w:b/>
      <w:bCs/>
      <w:color w:val="FFFFFF"/>
      <w:sz w:val="18"/>
      <w:szCs w:val="18"/>
    </w:rPr>
  </w:style>
  <w:style w:type="paragraph" w:styleId="SaHint">
    <w:name w:val="SafeAlly Hint"/>
    <w:basedOn w:val="Normal"/>
    <w:next w:val="SaCell"/>
    <w:pPr>
      <w:spacing w:after="40" w:before="40"/>
    </w:pPr>
    <w:rPr>
      <w:i/>
      <w:iCs/>
      <w:color w:val="005674"/>
      <w:sz w:val="17"/>
      <w:szCs w:val="17"/>
    </w:rPr>
  </w:style>
  <w:style w:type="paragraph" w:styleId="SaChrome">
    <w:name w:val="SafeAlly Chrome"/>
    <w:basedOn w:val="Normal"/>
    <w:next w:val="SaChrome"/>
    <w:pPr>
      <w:spacing w:after="0"/>
    </w:pPr>
    <w:rPr>
      <w:color w:val="005674"/>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ugchjpcpjjb64ofrx4i-0" Type="http://schemas.openxmlformats.org/officeDocument/2006/relationships/hyperlink" Target="https://www.worksafebc.com/en/law-policy/occupational-health-safety/searchable-ohs-regulation/workers-compensation-act/part-2-occupational-health-and-safety" TargetMode="External"/><Relationship Id="rIdqekna5ayf5xr8h89_usdt" Type="http://schemas.openxmlformats.org/officeDocument/2006/relationships/hyperlink" Target="https://www.ontario.ca/laws/statute/90o0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Multiple-employer workplace coordination plan</dc:title>
  <dc:subject>Coordination plan for a workplace with more than one employer — Canada. SafeAlly, safeally.net.</dc:subject>
  <dc:creator>SafeAlly — safeally.net</dc:creator>
  <dc:description>Coordination plan for a workplace with more than one employer — Canada. SafeAlly, safeally.net.</dc:description>
  <cp:lastModifiedBy>SafeAlly — safeally.net</cp:lastModifiedBy>
  <cp:revision>1</cp:revision>
  <dcterms:created xsi:type="dcterms:W3CDTF">2026-09-08T00:00:00.000Z</dcterms:created>
  <dcterms:modified xsi:type="dcterms:W3CDTF">2026-09-08T00:00:00.000Z</dcterms:modified>
</cp:coreProperties>
</file>

<file path=docProps/custom.xml><?xml version="1.0" encoding="utf-8"?>
<Properties xmlns="http://schemas.openxmlformats.org/officeDocument/2006/custom-properties" xmlns:vt="http://schemas.openxmlformats.org/officeDocument/2006/docPropsVTypes"/>
</file>