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SaTitle"/>
      </w:pPr>
      <w:r>
        <w:t xml:space="preserve">Plan de prévention</w:t>
      </w:r>
    </w:p>
    <w:p>
      <w:pPr>
        <w:pStyle w:val="SaSubtitle"/>
      </w:pPr>
      <w:r>
        <w:t xml:space="preserve">France — Code du travail, articles R. 4511-1 et suivants. Le caractère écrit et ses deux cas : section 2.</w:t>
      </w:r>
    </w:p>
    <w:tbl>
      <w:tblPr>
        <w:tblW w:type="dxa" w:w="9638"/>
        <w:tblBorders>
          <w:top w:val="single" w:color="FFC250" w:sz="8"/>
          <w:left w:val="single" w:color="FFC250" w:sz="8"/>
          <w:bottom w:val="single" w:color="FFC250" w:sz="8"/>
          <w:right w:val="single" w:color="FFC250" w:sz="8"/>
          <w:insideH w:val="none" w:color="auto" w:sz="0"/>
          <w:insideV w:val="none" w:color="auto" w:sz="0"/>
        </w:tblBorders>
      </w:tblPr>
      <w:tblGrid>
        <w:gridCol w:w="9638"/>
      </w:tblGrid>
      <w:tr>
        <w:tc>
          <w:tcPr>
            <w:tcW w:type="dxa" w:w="9638"/>
            <w:shd w:fill="FFEED3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pStyle w:val="SaCell"/>
            </w:pPr>
            <w:r>
              <w:rPr>
                <w:b/>
                <w:bCs/>
              </w:rPr>
              <w:t xml:space="preserve">Ce que ce plan n'est pas</w:t>
            </w:r>
          </w:p>
          <w:p>
            <w:pPr>
              <w:pStyle w:val="SaCell"/>
            </w:pPr>
            <w:r>
              <w:t xml:space="preserve">Ce n'est pas un document que l'entreprise utilisatrice rédige puis fait signer. R. 4512-6 dit que les chefs des entreprises utilisatrice et extérieures «procèdent en commun» à l'analyse des risques d'interférence et arrêtent le plan «d'un commun accord». Un plan préparé à l'avance et présenté à la signature n'est pas un plan de prévention : c'est un contrat d'adhésion sur un sujet qui n'en supporte pas. Rien ici ne constitue un conseil juridique.</w:t>
            </w:r>
          </w:p>
        </w:tc>
      </w:tr>
    </w:tbl>
    <w:p>
      <w:pPr>
        <w:pStyle w:val="SaChrome"/>
      </w:pPr>
    </w:p>
    <w:p>
      <w:pPr>
        <w:pStyle w:val="SaH1"/>
      </w:pPr>
      <w:r>
        <w:t xml:space="preserve">1. Les parties et l'opération</w:t>
      </w:r>
    </w:p>
    <w:p>
      <w:pPr>
        <w:pStyle w:val="SaBasis"/>
      </w:pPr>
      <w:r>
        <w:t xml:space="preserve">— pratique de métier, rien ne l'impose</w:t>
      </w:r>
    </w:p>
    <w:p>
      <w:pPr>
        <w:pStyle w:val="SaBody"/>
      </w:pPr>
      <w:r>
        <w:rPr>
          <w:b w:val="false"/>
          <w:bCs w:val="false"/>
        </w:rPr>
        <w:t xml:space="preserve">Les sous-traitants comptent. R. 4512-7 additionne les heures des entreprises extérieures «y compris les entreprises sous-traitantes auxquelles elles peuvent faire appel» : une opération découpée en trois lots de 150 heures franchit le seuil.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2505"/>
        <w:gridCol w:w="2313"/>
        <w:gridCol w:w="2505"/>
        <w:gridCol w:w="2315"/>
      </w:tblGrid>
      <w:tr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Entreprise utilisatrice</w:t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Site et zone concernés</w:t>
            </w:r>
          </w:p>
        </w:tc>
        <w:tc>
          <w:tcPr>
            <w:tcW w:type="dxa" w:w="231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Entreprise extérieure</w:t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Sous-traitants déclarés</w:t>
            </w:r>
          </w:p>
        </w:tc>
        <w:tc>
          <w:tcPr>
            <w:tcW w:type="dxa" w:w="231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Nature de l'opération</w:t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Dates prévues, début et fin</w:t>
            </w:r>
          </w:p>
        </w:tc>
        <w:tc>
          <w:tcPr>
            <w:tcW w:type="dxa" w:w="231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Heures de travail prévisibles, tous intervenants</w:t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Hint"/>
            </w:pPr>
            <w:r>
              <w:t xml:space="preserve">[le seuil est 400 h sur 12 mois ou moins]</w:t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Effectif prévu de l'entreprise extérieure</w:t>
            </w:r>
          </w:p>
        </w:tc>
        <w:tc>
          <w:tcPr>
            <w:tcW w:type="dxa" w:w="231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Responsable désigné, entreprise utilisatrice</w:t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Responsable désigné, entreprise extérieure</w:t>
            </w:r>
          </w:p>
        </w:tc>
        <w:tc>
          <w:tcPr>
            <w:tcW w:type="dxa" w:w="231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</w:tbl>
    <w:p>
      <w:pPr>
        <w:pStyle w:val="SaChrome"/>
      </w:pPr>
    </w:p>
    <w:p>
      <w:pPr>
        <w:pStyle w:val="SaH1"/>
      </w:pPr>
      <w:r>
        <w:t xml:space="preserve">2. Quand le plan doit être écrit</w:t>
      </w:r>
    </w:p>
    <w:p>
      <w:pPr>
        <w:pStyle w:val="SaBasis"/>
      </w:pPr>
      <w:r>
        <w:t xml:space="preserve">— imposé par la réglementation</w:t>
      </w:r>
    </w:p>
    <w:p>
      <w:pPr>
        <w:pStyle w:val="SaBody"/>
      </w:pPr>
      <w:r>
        <w:rPr>
          <w:b w:val="false"/>
          <w:bCs w:val="false"/>
        </w:rPr>
        <w:t xml:space="preserve">Un plan de prévention est dû dès qu'il existe des risques d'interférence — R. 4512-6. Ce qui dépend du seuil, c'est son caractère **écrit** et arrêté avant le commencement des travaux, que R. 4512-7 fixe dans deux cas.</w:t>
      </w:r>
    </w:p>
    <w:p>
      <w:pPr>
        <w:pStyle w:val="SaBody"/>
      </w:pPr>
      <w:r>
        <w:rPr>
          <w:b/>
          <w:bCs/>
        </w:rPr>
        <w:t xml:space="preserve">Le second cas n'a pas de seuil horaire : un travail figurant sur la liste des travaux dangereux impose un plan écrit même pour deux heures d'intervention.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1349"/>
        <w:gridCol w:w="5397"/>
        <w:gridCol w:w="2892"/>
      </w:tblGrid>
      <w:tr>
        <w:trPr>
          <w:tblHeader/>
        </w:trPr>
        <w:tc>
          <w:tcPr>
            <w:tcW w:type="dxa" w:w="1349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Cas</w:t>
            </w:r>
          </w:p>
        </w:tc>
        <w:tc>
          <w:tcPr>
            <w:tcW w:type="dxa" w:w="5397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Condition</w:t>
            </w:r>
          </w:p>
        </w:tc>
        <w:tc>
          <w:tcPr>
            <w:tcW w:type="dxa" w:w="2892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Base</w:t>
            </w:r>
          </w:p>
        </w:tc>
      </w:tr>
      <w:tr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>1°</w:t>
            </w:r>
          </w:p>
        </w:tc>
        <w:tc>
          <w:tcPr>
            <w:tcW w:type="dxa" w:w="539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>L'opération représente un nombre total d'heures de travail prévisible égal au moins à 400 heures sur une période inférieure ou égale à douze mois, travaux continus ou discontinus, sous-traitants compris. Idem s'il apparaît en cours d'exécution que les 400 heures seront atteintes.</w:t>
            </w:r>
          </w:p>
        </w:tc>
        <w:tc>
          <w:tcPr>
            <w:tcW w:type="dxa" w:w="289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>C. trav., art. R. 4512-7, 1°</w:t>
            </w:r>
          </w:p>
        </w:tc>
      </w:tr>
      <w:tr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>2°</w:t>
            </w:r>
          </w:p>
        </w:tc>
        <w:tc>
          <w:tcPr>
            <w:tcW w:type="dxa" w:w="539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>Quelle que soit la durée prévisible, lorsque les travaux figurent sur la liste des travaux dangereux fixée par arrêté ministériel.</w:t>
            </w:r>
          </w:p>
        </w:tc>
        <w:tc>
          <w:tcPr>
            <w:tcW w:type="dxa" w:w="289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>C. trav., art. R. 4512-7, 2° — arrêté du 19 mars 1993</w:t>
            </w:r>
          </w:p>
        </w:tc>
      </w:tr>
    </w:tbl>
    <w:p>
      <w:pPr>
        <w:pStyle w:val="SaNote"/>
      </w:pPr>
      <w:r>
        <w:t xml:space="preserve">En dessous des deux cas, le plan reste dû s'il y a interférence, mais il n'est pas obligatoirement écrit. L'écrire quand même coûte une heure et évite la conversation où personne ne se souvient de ce qui avait été convenu.</w:t>
      </w:r>
    </w:p>
    <w:p>
      <w:pPr>
        <w:pStyle w:val="SaH1"/>
      </w:pPr>
      <w:r>
        <w:t xml:space="preserve">3. Inspection commune préalable</w:t>
      </w:r>
    </w:p>
    <w:p>
      <w:pPr>
        <w:pStyle w:val="SaBasis"/>
      </w:pPr>
      <w:r>
        <w:t xml:space="preserve">— imposé par la réglementation</w:t>
      </w:r>
    </w:p>
    <w:p>
      <w:pPr>
        <w:pStyle w:val="SaBody"/>
      </w:pPr>
      <w:r>
        <w:rPr>
          <w:b w:val="false"/>
          <w:bCs w:val="false"/>
        </w:rPr>
        <w:t xml:space="preserve">C'est l'étape que le plan présuppose : R. 4512-6 fonde l'analyse commune «au vu des informations et éléments recueillis au cours de l'inspection commune préalable». Sans visite commune sur le terrain, il n'y a pas de matière — et le plan devient un formulaire.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2505"/>
        <w:gridCol w:w="2313"/>
        <w:gridCol w:w="2505"/>
        <w:gridCol w:w="2315"/>
      </w:tblGrid>
      <w:tr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Date de l'inspection commune</w:t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Zones parcourues</w:t>
            </w:r>
          </w:p>
        </w:tc>
        <w:tc>
          <w:tcPr>
            <w:tcW w:type="dxa" w:w="231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Présents, entreprise utilisatrice</w:t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Présents, entreprise extérieure</w:t>
            </w:r>
          </w:p>
        </w:tc>
        <w:tc>
          <w:tcPr>
            <w:tcW w:type="dxa" w:w="231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</w:tbl>
    <w:p>
      <w:pPr>
        <w:pStyle w:val="SaChrome"/>
      </w:pP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400"/>
        <w:gridCol w:w="9238"/>
      </w:tblGrid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Zones d'intervention délimitées sur le terrain, pas seulement sur un plan.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Voies de circulation, accès et stationnement montrés.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Installations et matériels de l'entreprise utilisatrice présentés, y compris ce qui reste en service pendant l'opération.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Consignes de sécurité, plan d'évacuation et points de rassemblement communiqués.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Moyens de secours et procédure d'alerte du site indiqués.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Zones à risque particulier signalées : ATEX, espaces confinés, produits chimiques, rayonnements, travail en hauteur.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Installations sanitaires et locaux mis à disposition précisés.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Interlocuteurs et moyens de communication échangés.</w:t>
            </w:r>
          </w:p>
        </w:tc>
      </w:tr>
    </w:tbl>
    <w:p>
      <w:pPr>
        <w:pStyle w:val="SaChrome"/>
      </w:pPr>
    </w:p>
    <w:p>
      <w:r>
        <w:br w:type="page"/>
      </w:r>
    </w:p>
    <w:p>
      <w:pPr>
        <w:pStyle w:val="SaH1"/>
      </w:pPr>
      <w:r>
        <w:t xml:space="preserve">4. Risques d'interférence et mesures</w:t>
      </w:r>
    </w:p>
    <w:p>
      <w:pPr>
        <w:pStyle w:val="SaBasis"/>
      </w:pPr>
      <w:r>
        <w:t xml:space="preserve">— imposé par la réglementation</w:t>
      </w:r>
    </w:p>
    <w:p>
      <w:pPr>
        <w:pStyle w:val="SaBody"/>
      </w:pPr>
      <w:r>
        <w:rPr>
          <w:b w:val="false"/>
          <w:bCs w:val="false"/>
        </w:rPr>
        <w:t xml:space="preserve">Le plan ne porte pas sur les risques propres de chaque entreprise : chacune les traite dans son propre DUERP. Il porte sur ce que la coactivité crée — et c'est la distinction que la plupart des plans manquent, en recopiant des risques génériques qui n'ont rien d'interférent.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481"/>
        <w:gridCol w:w="2505"/>
        <w:gridCol w:w="1349"/>
        <w:gridCol w:w="2505"/>
        <w:gridCol w:w="1445"/>
        <w:gridCol w:w="1353"/>
      </w:tblGrid>
      <w:tr>
        <w:trPr>
          <w:tblHeader/>
        </w:trPr>
        <w:tc>
          <w:tcPr>
            <w:tcW w:type="dxa" w:w="481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N°</w:t>
            </w:r>
          </w:p>
        </w:tc>
        <w:tc>
          <w:tcPr>
            <w:tcW w:type="dxa" w:w="2505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Risque d'interférence</w:t>
            </w:r>
          </w:p>
        </w:tc>
        <w:tc>
          <w:tcPr>
            <w:tcW w:type="dxa" w:w="1349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Qui est exposé</w:t>
            </w:r>
          </w:p>
        </w:tc>
        <w:tc>
          <w:tcPr>
            <w:tcW w:type="dxa" w:w="2505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Mesure décidée</w:t>
            </w:r>
          </w:p>
        </w:tc>
        <w:tc>
          <w:tcPr>
            <w:tcW w:type="dxa" w:w="1445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À la charge de</w:t>
            </w:r>
          </w:p>
        </w:tc>
        <w:tc>
          <w:tcPr>
            <w:tcW w:type="dxa" w:w="1353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Avant / pendant</w:t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44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5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44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5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44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5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44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5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44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5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44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5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44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5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44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5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44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5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44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5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44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5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44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5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</w:tbl>
    <w:p>
      <w:pPr>
        <w:pStyle w:val="SaNote"/>
      </w:pPr>
      <w:r>
        <w:t xml:space="preserve">La colonne «à la charge de» est la raison d'être du document. Une mesure décidée en commun et non attribuée est une mesure que les deux entreprises croient à la charge de l'autre — c'est la défaillance typique de la coactivité, et elle se lit sur le tableau.</w:t>
      </w:r>
    </w:p>
    <w:p>
      <w:pPr>
        <w:pStyle w:val="SaH1"/>
      </w:pPr>
      <w:r>
        <w:t xml:space="preserve">5. Coordination pendant l'opération</w:t>
      </w:r>
    </w:p>
    <w:p>
      <w:pPr>
        <w:pStyle w:val="SaBasis"/>
      </w:pPr>
      <w:r>
        <w:t xml:space="preserve">— imposé par la réglementation</w:t>
      </w:r>
    </w:p>
    <w:p>
      <w:pPr>
        <w:pStyle w:val="SaBody"/>
      </w:pPr>
      <w:r>
        <w:rPr>
          <w:b w:val="false"/>
          <w:bCs w:val="false"/>
        </w:rPr>
        <w:t xml:space="preserve">Le plan n'est pas un acte unique. L'entreprise utilisatrice coordonne les mesures pendant toute la durée de l'opération, et une modification de l'opération appelle une mise à jour du plan — pas un avenant oral.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400"/>
        <w:gridCol w:w="9238"/>
      </w:tblGrid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Plan de prévention tenu à disposition sur le site pendant toute la durée des travaux.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Inspection du travail informée par écrit de l'ouverture des travaux, dans les cas où le plan écrit est obligatoire.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CSE des deux entreprises informé de l'opération.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Nouvelle inspection commune organisée en cas de modification de l'opération.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Sous-traitants ajoutés en cours d'opération intégrés au plan avant leur arrivée.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Point de coordination périodique tenu, avec relevé écrit.</w:t>
            </w:r>
          </w:p>
        </w:tc>
      </w:tr>
    </w:tbl>
    <w:p>
      <w:pPr>
        <w:pStyle w:val="SaChrome"/>
      </w:pPr>
    </w:p>
    <w:p>
      <w:pPr>
        <w:pStyle w:val="SaH1"/>
      </w:pPr>
      <w:r>
        <w:t xml:space="preserve">6. Avenants et clôture</w:t>
      </w:r>
    </w:p>
    <w:p>
      <w:pPr>
        <w:pStyle w:val="SaBasis"/>
      </w:pPr>
      <w:r>
        <w:t xml:space="preserve">— pratique de métier, rien ne l'impose</w:t>
      </w:r>
    </w:p>
    <w:p>
      <w:pPr>
        <w:pStyle w:val="SaBody"/>
      </w:pPr>
      <w:r>
        <w:rPr>
          <w:b w:val="false"/>
          <w:bCs w:val="false"/>
        </w:rPr>
        <w:t xml:space="preserve">Rien n'impose ce tableau. Il est là parce qu'une opération qui dure change, et parce qu'un plan signé en janvier et jamais rouvert décrit une opération qui n'existe plus.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1060"/>
        <w:gridCol w:w="3084"/>
        <w:gridCol w:w="1638"/>
        <w:gridCol w:w="2505"/>
        <w:gridCol w:w="1351"/>
      </w:tblGrid>
      <w:tr>
        <w:trPr>
          <w:tblHeader/>
        </w:trPr>
        <w:tc>
          <w:tcPr>
            <w:tcW w:type="dxa" w:w="1060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Date</w:t>
            </w:r>
          </w:p>
        </w:tc>
        <w:tc>
          <w:tcPr>
            <w:tcW w:type="dxa" w:w="3084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Modification de l'opération</w:t>
            </w:r>
          </w:p>
        </w:tc>
        <w:tc>
          <w:tcPr>
            <w:tcW w:type="dxa" w:w="1638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Nouvelle inspection commune ?</w:t>
            </w:r>
          </w:p>
        </w:tc>
        <w:tc>
          <w:tcPr>
            <w:tcW w:type="dxa" w:w="2505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Mesures ajoutées</w:t>
            </w:r>
          </w:p>
        </w:tc>
        <w:tc>
          <w:tcPr>
            <w:tcW w:type="dxa" w:w="1351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Visa des deux parties</w:t>
            </w:r>
          </w:p>
        </w:tc>
      </w:tr>
      <w:tr>
        <w:trPr>
          <w:trHeight w:val="460" w:hRule="atLeast"/>
        </w:trPr>
        <w:tc>
          <w:tcPr>
            <w:tcW w:type="dxa" w:w="106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308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63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5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106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308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63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5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106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308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63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5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106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308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63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5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106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308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63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5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106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308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63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5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106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308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63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5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106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308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63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5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</w:tbl>
    <w:p>
      <w:pPr>
        <w:pStyle w:val="SaChrome"/>
      </w:pPr>
    </w:p>
    <w:p>
      <w:pPr>
        <w:pStyle w:val="SaH1"/>
      </w:pPr>
      <w:r>
        <w:t xml:space="preserve">7. Signatures</w:t>
      </w:r>
    </w:p>
    <w:p>
      <w:pPr>
        <w:pStyle w:val="SaBasis"/>
      </w:pPr>
      <w:r>
        <w:t xml:space="preserve">— pratique de métier, rien ne l'impose</w:t>
      </w:r>
    </w:p>
    <w:p>
      <w:pPr>
        <w:pStyle w:val="SaBody"/>
      </w:pPr>
      <w:r>
        <w:rPr>
          <w:b w:val="false"/>
          <w:bCs w:val="false"/>
        </w:rPr>
        <w:t xml:space="preserve">Deux entreprises, deux signatures, et le plan est arrêté «d'un commun accord». Une seule signature ne fait pas un plan de prévention.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40"/>
              <w:right w:type="dxa" w:w="160"/>
            </w:tcMar>
          </w:tcPr>
          <w:p>
            <w:pPr>
              <w:pStyle w:val="SaCell"/>
            </w:pPr>
            <w:r>
              <w:rPr>
                <w:b/>
                <w:bCs/>
              </w:rPr>
              <w:t xml:space="preserve">Pour l'entreprise utilisatrice</w:t>
            </w:r>
          </w:p>
          <w:p>
            <w:pPr>
              <w:pStyle w:val="SaHint"/>
            </w:pPr>
            <w:r>
              <w:t xml:space="preserve">Nom, fonction, date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40"/>
              <w:right w:type="dxa" w:w="160"/>
            </w:tcMar>
          </w:tcPr>
          <w:p>
            <w:pPr>
              <w:pStyle w:val="SaCell"/>
            </w:pPr>
            <w:r>
              <w:rPr>
                <w:b/>
                <w:bCs/>
              </w:rPr>
              <w:t xml:space="preserve">Pour l'entreprise extérieure</w:t>
            </w:r>
          </w:p>
          <w:p>
            <w:pPr>
              <w:pStyle w:val="SaHint"/>
            </w:pPr>
            <w:r>
              <w:t xml:space="preserve">Nom, fonction, date</w:t>
            </w:r>
          </w:p>
        </w:tc>
      </w:tr>
      <w:tr>
        <w:trPr>
          <w:trHeight w:val="1100" w:hRule="atLeast"/>
        </w:trPr>
        <w:tc>
          <w:tcPr>
            <w:tcW w:type="dxa" w:w="481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481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</w:tbl>
    <w:p>
      <w:pPr>
        <w:pStyle w:val="SaChrome"/>
      </w:pP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40"/>
              <w:right w:type="dxa" w:w="160"/>
            </w:tcMar>
          </w:tcPr>
          <w:p>
            <w:pPr>
              <w:pStyle w:val="SaCell"/>
            </w:pPr>
            <w:r>
              <w:rPr>
                <w:b/>
                <w:bCs/>
              </w:rPr>
              <w:t xml:space="preserve">Pour le ou les sous-traitants</w:t>
            </w:r>
          </w:p>
          <w:p>
            <w:pPr>
              <w:pStyle w:val="SaHint"/>
            </w:pPr>
            <w:r>
              <w:t xml:space="preserve">Nom, entreprise, date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40"/>
              <w:right w:type="dxa" w:w="160"/>
            </w:tcMar>
          </w:tcPr>
          <w:p>
            <w:pPr>
              <w:pStyle w:val="SaCell"/>
            </w:pPr>
            <w:r>
              <w:rPr>
                <w:b/>
                <w:bCs/>
              </w:rPr>
              <w:t xml:space="preserve">Autre intervenant</w:t>
            </w:r>
          </w:p>
          <w:p>
            <w:pPr>
              <w:pStyle w:val="SaHint"/>
            </w:pPr>
            <w:r>
              <w:t xml:space="preserve">Le cas échéant</w:t>
            </w:r>
          </w:p>
        </w:tc>
      </w:tr>
      <w:tr>
        <w:trPr>
          <w:trHeight w:val="1100" w:hRule="atLeast"/>
        </w:trPr>
        <w:tc>
          <w:tcPr>
            <w:tcW w:type="dxa" w:w="481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481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</w:tbl>
    <w:p>
      <w:pPr>
        <w:pStyle w:val="SaChrome"/>
      </w:pPr>
    </w:p>
    <w:p>
      <w:pPr>
        <w:pStyle w:val="SaH2"/>
      </w:pPr>
      <w:r>
        <w:t xml:space="preserve">Sources</w:t>
      </w:r>
    </w:p>
    <w:p>
      <w:pPr>
        <w:pStyle w:val="ListParagraph"/>
        <w:pStyle w:val="SaNote"/>
        <w:numPr>
          <w:ilvl w:val="0"/>
          <w:numId w:val="1"/>
        </w:numPr>
      </w:pPr>
      <w:r>
        <w:t xml:space="preserve">Code du travail, article R. 4512-6 — analyse commune et plan de prévention — </w:t>
      </w:r>
      <w:hyperlink w:history="1" r:id="rIdugchjpcpjjb64ofrx4i-0">
        <w:r>
          <w:rPr>
            <w:color w:val="005674"/>
            <w:u w:val="single"/>
          </w:rPr>
          <w:t xml:space="preserve">https://www.legifrance.gouv.fr/codes/article_lc/LEGIARTI000018529785</w:t>
        </w:r>
      </w:hyperlink>
    </w:p>
    <w:p>
      <w:pPr>
        <w:pStyle w:val="ListParagraph"/>
        <w:pStyle w:val="SaNote"/>
        <w:numPr>
          <w:ilvl w:val="0"/>
          <w:numId w:val="1"/>
        </w:numPr>
      </w:pPr>
      <w:r>
        <w:t xml:space="preserve">Code du travail, article R. 4512-7 — les deux cas du plan écrit — </w:t>
      </w:r>
      <w:hyperlink w:history="1" r:id="rIdqekna5ayf5xr8h89_usdt">
        <w:r>
          <w:rPr>
            <w:color w:val="005674"/>
            <w:u w:val="single"/>
          </w:rPr>
          <w:t xml:space="preserve">https://www.legifrance.gouv.fr/codes/article_lc/LEGIARTI000018529783</w:t>
        </w:r>
      </w:hyperlink>
    </w:p>
    <w:p>
      <w:pPr>
        <w:pStyle w:val="ListParagraph"/>
        <w:pStyle w:val="SaNote"/>
        <w:numPr>
          <w:ilvl w:val="0"/>
          <w:numId w:val="1"/>
        </w:numPr>
      </w:pPr>
      <w:r>
        <w:t xml:space="preserve">Arrêté du 19 mars 1993 — liste des travaux dangereux (art. R. 4512-7) — </w:t>
      </w:r>
      <w:hyperlink w:history="1" r:id="rIdz97ta7ypds1d5okqjne6s">
        <w:r>
          <w:rPr>
            <w:color w:val="005674"/>
            <w:u w:val="single"/>
          </w:rPr>
          <w:t xml:space="preserve">https://www.legifrance.gouv.fr/loda/id/JORFTEXT000000179892/</w:t>
        </w:r>
      </w:hyperlink>
    </w:p>
    <w:p>
      <w:pPr>
        <w:pStyle w:val="SaNote"/>
      </w:pPr>
      <w:r>
        <w:rPr>
          <w:b w:val="false"/>
          <w:bCs w:val="false"/>
        </w:rPr>
        <w:t xml:space="preserve">Contenu relu le 2026-09-08 · La page de ce modèle — https://safeally.net/fr-fr/modeles/plan-de-prevention-entreprise-exterieure/</w:t>
      </w:r>
    </w:p>
    <w:p>
      <w:pPr>
        <w:pStyle w:val="SaNote"/>
      </w:pPr>
      <w:r>
        <w:rPr>
          <w:b w:val="false"/>
          <w:bCs w:val="false"/>
        </w:rPr>
        <w:t xml:space="preserve">SafeAlly — safeally.net · gratuit, sans compte, document modifiable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680" w:footer="68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SaChrome"/>
      <w:pBdr>
        <w:top w:val="single" w:color="BDE1F3" w:sz="4"/>
      </w:pBdr>
      <w:tabs>
        <w:tab w:val="right" w:pos="9638"/>
      </w:tabs>
    </w:pPr>
    <w:r>
      <w:t xml:space="preserve">Contenu relu le 2026-09-08 · safeally.net</w:t>
    </w:r>
    <w:r>
      <w:t xml:space="preserve">	</w:t>
      <w:t xml:space="preserve">Page </w:t>
      <w:fldChar w:fldCharType="begin"/>
      <w:instrText xml:space="preserve">PAGE</w:instrText>
      <w:fldChar w:fldCharType="separate"/>
      <w:fldChar w:fldCharType="end"/>
    </w:r>
    <w:r>
      <w:t xml:space="preserve"> sur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Style w:val="SaChrome"/>
      <w:pBdr>
        <w:bottom w:val="single" w:color="BDE1F3" w:sz="4"/>
      </w:pBdr>
    </w:pPr>
    <w:r>
      <w:t xml:space="preserve">Plan de prévention — opération n° …………… — du ……/……/……… au ……/……/………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21D28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aTitle">
    <w:name w:val="SafeAlly Title"/>
    <w:basedOn w:val="Normal"/>
    <w:next w:val="SaSubtitle"/>
    <w:qFormat/>
    <w:pPr>
      <w:spacing w:after="60"/>
    </w:pPr>
    <w:rPr>
      <w:b/>
      <w:bCs/>
      <w:color w:val="014259"/>
      <w:sz w:val="32"/>
      <w:szCs w:val="32"/>
    </w:rPr>
  </w:style>
  <w:style w:type="paragraph" w:styleId="SaSubtitle">
    <w:name w:val="SafeAlly Subtitle"/>
    <w:basedOn w:val="Normal"/>
    <w:next w:val="SaBody"/>
    <w:qFormat/>
    <w:pPr>
      <w:pBdr>
        <w:bottom w:val="single" w:color="FFC250" w:sz="12"/>
      </w:pBdr>
      <w:spacing w:after="240"/>
    </w:pPr>
    <w:rPr>
      <w:color w:val="005674"/>
      <w:sz w:val="20"/>
      <w:szCs w:val="20"/>
    </w:rPr>
  </w:style>
  <w:style w:type="paragraph" w:styleId="SaH1">
    <w:name w:val="SafeAlly Heading 1"/>
    <w:basedOn w:val="Normal"/>
    <w:next w:val="SaBody"/>
    <w:qFormat/>
    <w:pPr>
      <w:keepNext/>
      <w:pBdr>
        <w:bottom w:val="single" w:color="BDE1F3" w:sz="6"/>
      </w:pBdr>
      <w:spacing w:after="40" w:before="320"/>
    </w:pPr>
    <w:rPr>
      <w:b/>
      <w:bCs/>
      <w:color w:val="014259"/>
      <w:sz w:val="24"/>
      <w:szCs w:val="24"/>
    </w:rPr>
  </w:style>
  <w:style w:type="paragraph" w:styleId="SaH2">
    <w:name w:val="SafeAlly Heading 2"/>
    <w:basedOn w:val="Normal"/>
    <w:next w:val="SaBody"/>
    <w:qFormat/>
    <w:pPr>
      <w:keepNext/>
      <w:spacing w:after="40" w:before="240"/>
    </w:pPr>
    <w:rPr>
      <w:b/>
      <w:bCs/>
      <w:color w:val="005674"/>
      <w:sz w:val="21"/>
      <w:szCs w:val="21"/>
    </w:rPr>
  </w:style>
  <w:style w:type="paragraph" w:styleId="SaBody">
    <w:name w:val="SafeAlly Body"/>
    <w:basedOn w:val="Normal"/>
    <w:next w:val="SaBody"/>
    <w:qFormat/>
    <w:pPr>
      <w:spacing w:after="120" w:line="264"/>
    </w:pPr>
    <w:rPr>
      <w:color w:val="021D28"/>
      <w:sz w:val="20"/>
      <w:szCs w:val="20"/>
    </w:rPr>
  </w:style>
  <w:style w:type="paragraph" w:styleId="SaBasis">
    <w:name w:val="SafeAlly Basis"/>
    <w:basedOn w:val="Normal"/>
    <w:next w:val="SaBody"/>
    <w:pPr>
      <w:keepNext/>
      <w:spacing w:after="140"/>
    </w:pPr>
    <w:rPr>
      <w:i/>
      <w:iCs/>
      <w:color w:val="005674"/>
      <w:sz w:val="16"/>
      <w:szCs w:val="16"/>
    </w:rPr>
  </w:style>
  <w:style w:type="paragraph" w:styleId="SaNote">
    <w:name w:val="SafeAlly Note"/>
    <w:basedOn w:val="Normal"/>
    <w:next w:val="SaBody"/>
    <w:pPr>
      <w:spacing w:after="160"/>
    </w:pPr>
    <w:rPr>
      <w:color w:val="053143"/>
      <w:sz w:val="16"/>
      <w:szCs w:val="16"/>
    </w:rPr>
  </w:style>
  <w:style w:type="paragraph" w:styleId="SaCell">
    <w:name w:val="SafeAlly Cell"/>
    <w:basedOn w:val="Normal"/>
    <w:next w:val="SaCell"/>
    <w:pPr>
      <w:spacing w:after="40" w:before="40"/>
    </w:pPr>
    <w:rPr>
      <w:color w:val="021D28"/>
      <w:sz w:val="19"/>
      <w:szCs w:val="19"/>
    </w:rPr>
  </w:style>
  <w:style w:type="paragraph" w:styleId="SaCellHeader">
    <w:name w:val="SafeAlly Cell Header"/>
    <w:basedOn w:val="Normal"/>
    <w:next w:val="SaCell"/>
    <w:pPr>
      <w:spacing w:after="60" w:before="60"/>
    </w:pPr>
    <w:rPr>
      <w:b/>
      <w:bCs/>
      <w:color w:val="FFFFFF"/>
      <w:sz w:val="18"/>
      <w:szCs w:val="18"/>
    </w:rPr>
  </w:style>
  <w:style w:type="paragraph" w:styleId="SaHint">
    <w:name w:val="SafeAlly Hint"/>
    <w:basedOn w:val="Normal"/>
    <w:next w:val="SaCell"/>
    <w:pPr>
      <w:spacing w:after="40" w:before="40"/>
    </w:pPr>
    <w:rPr>
      <w:i/>
      <w:iCs/>
      <w:color w:val="005674"/>
      <w:sz w:val="17"/>
      <w:szCs w:val="17"/>
    </w:rPr>
  </w:style>
  <w:style w:type="paragraph" w:styleId="SaChrome">
    <w:name w:val="SafeAlly Chrome"/>
    <w:basedOn w:val="Normal"/>
    <w:next w:val="SaChrome"/>
    <w:pPr>
      <w:spacing w:after="0"/>
    </w:pPr>
    <w:rPr>
      <w:color w:val="005674"/>
      <w:sz w:val="15"/>
      <w:szCs w:val="1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ugchjpcpjjb64ofrx4i-0" Type="http://schemas.openxmlformats.org/officeDocument/2006/relationships/hyperlink" Target="https://www.legifrance.gouv.fr/codes/article_lc/LEGIARTI000018529785" TargetMode="External"/><Relationship Id="rIdqekna5ayf5xr8h89_usdt" Type="http://schemas.openxmlformats.org/officeDocument/2006/relationships/hyperlink" Target="https://www.legifrance.gouv.fr/codes/article_lc/LEGIARTI000018529783" TargetMode="External"/><Relationship Id="rIdz97ta7ypds1d5okqjne6s" Type="http://schemas.openxmlformats.org/officeDocument/2006/relationships/hyperlink" Target="https://www.legifrance.gouv.fr/loda/id/JORFTEXT000000179892/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de prévention</dc:title>
  <dc:subject>Trame de plan de prévention entreprise utilisatrice / entreprise extérieure — France. SafeAlly, safeally.net.</dc:subject>
  <dc:creator>SafeAlly — safeally.net</dc:creator>
  <dc:description>Trame de plan de prévention entreprise utilisatrice / entreprise extérieure — France. SafeAlly, safeally.net.</dc:description>
  <cp:lastModifiedBy>SafeAlly — safeally.net</cp:lastModifiedBy>
  <cp:revision>1</cp:revision>
  <dcterms:created xsi:type="dcterms:W3CDTF">2026-09-08T00:00:00.000Z</dcterms:created>
  <dcterms:modified xsi:type="dcterms:W3CDTF">2026-09-08T00:00:00.000Z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