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Gefährdungsbeurteilung</w:t>
      </w:r>
    </w:p>
    <w:p>
      <w:pPr>
        <w:pStyle w:val="SaSubtitle"/>
      </w:pPr>
      <w:r>
        <w:t xml:space="preserve">Deutschland — Arbeitsschutzgesetz, §§ 3 bis 6 und § 12, mit den Grundsätzen des § 4</w:t>
      </w:r>
    </w:p>
    <w:tbl>
      <w:tblPr>
        <w:tblW w:type="dxa" w:w="9638"/>
        <w:tblBorders>
          <w:top w:val="single" w:color="FFC250" w:sz="8"/>
          <w:left w:val="single" w:color="FFC250" w:sz="8"/>
          <w:bottom w:val="single" w:color="FFC250" w:sz="8"/>
          <w:right w:val="single" w:color="FFC250" w:sz="8"/>
          <w:insideH w:val="none" w:color="auto" w:sz="0"/>
          <w:insideV w:val="none" w:color="auto" w:sz="0"/>
        </w:tblBorders>
      </w:tblPr>
      <w:tblGrid>
        <w:gridCol w:w="9638"/>
      </w:tblGrid>
      <w:tr>
        <w:tc>
          <w:tcPr>
            <w:tcW w:type="dxa" w:w="9638"/>
            <w:shd w:fill="FFEED3" w:color="auto" w:val="clear"/>
            <w:tcMar>
              <w:top w:type="dxa" w:w="160"/>
              <w:left w:type="dxa" w:w="200"/>
              <w:bottom w:type="dxa" w:w="160"/>
              <w:right w:type="dxa" w:w="200"/>
            </w:tcMar>
          </w:tcPr>
          <w:p>
            <w:pPr>
              <w:pStyle w:val="SaCell"/>
            </w:pPr>
            <w:r>
              <w:rPr>
                <w:b/>
                <w:bCs/>
              </w:rPr>
              <w:t xml:space="preserve">Was diese Vorlage nicht ist</w:t>
            </w:r>
          </w:p>
          <w:p>
            <w:pPr>
              <w:pStyle w:val="SaCell"/>
            </w:pPr>
            <w:r>
              <w:t xml:space="preserve">Sie ist keine Gefährdungsbeurteilung. § 5 ArbSchG verlangt zu beurteilen, § 6 verlangt Unterlagen über das Ergebnis — dieses Dokument trägt nur die zweite Hälfte. Ausgefüllt, ohne dass jemand die Tätigkeit vor Ort gesehen hat, schützt es niemanden und belegt gegenüber der Aufsicht das Gegenteil. Keine Rechtsberatung.</w:t>
            </w:r>
          </w:p>
        </w:tc>
      </w:tr>
    </w:tbl>
    <w:p>
      <w:pPr>
        <w:pStyle w:val="SaChrome"/>
      </w:pPr>
    </w:p>
    <w:p>
      <w:pPr>
        <w:pStyle w:val="SaBody"/>
      </w:pPr>
      <w:r>
        <w:rPr>
          <w:b w:val="false"/>
          <w:bCs w:val="false"/>
        </w:rPr>
        <w:t xml:space="preserve">Die grau hinterlegten Felder sind auszufüllen. Angaben in eckigen Klammern sind Beispiele — bitte ersetzen. Das Dokument ist bearbeitbar: Streichen Sie, was auf Sie nicht zutrifft, lesen Sie aber zuvor den Hinweis zu jedem Abschnitt.</w:t>
      </w:r>
    </w:p>
    <w:p>
      <w:pPr>
        <w:pStyle w:val="SaH1"/>
      </w:pPr>
      <w:r>
        <w:t xml:space="preserve">1. Betrieb und Geltungsbereich dieser Unterlage</w:t>
      </w:r>
    </w:p>
    <w:p>
      <w:pPr>
        <w:pStyle w:val="SaBasis"/>
      </w:pPr>
      <w:r>
        <w:t xml:space="preserve">— betriebliche Praxis, nicht vorgeschrieben</w:t>
      </w:r>
    </w:p>
    <w:p>
      <w:pPr>
        <w:pStyle w:val="SaBody"/>
      </w:pPr>
      <w:r>
        <w:rPr>
          <w:b w:val="false"/>
          <w:bCs w:val="false"/>
        </w:rPr>
        <w:t xml:space="preserve">Kein Paragraf verlangt diesen Kopf. Er steht hier, weil § 6 Abs. 1 die erforderlichen Unterlagen an „die Art der Tätigkeiten und die Zahl der Beschäftigten“ bindet: ohne beides auf dem Papier lässt sich später nicht mehr beurteilen, ob der Umfang angemessen war.</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Unternehmen</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Betrieb oder Standort</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Anschrift</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Zahl der Beschäftigten</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Branche und zuständige Berufsgenossenschaft</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Betriebsärztliche Betreuung</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Fachkraft für Arbeitssicherheit</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[Name, intern oder extern]</w:t>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Fassung Nr. und Datum</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2. Arbeitsbereiche und Tätigkeiten</w:t>
      </w:r>
    </w:p>
    <w:p>
      <w:pPr>
        <w:pStyle w:val="SaBasis"/>
      </w:pPr>
      <w:r>
        <w:t xml:space="preserve">— rechtlich vorgeschrieben</w:t>
      </w:r>
    </w:p>
    <w:p>
      <w:pPr>
        <w:pStyle w:val="SaBody"/>
      </w:pPr>
      <w:r>
        <w:rPr>
          <w:b w:val="false"/>
          <w:bCs w:val="false"/>
        </w:rPr>
        <w:t xml:space="preserve">§ 5 Abs. 2 ArbSchG: die Beurteilung ist „je nach Art der Tätigkeiten“ vorzunehmen, und bei gleichartigen Arbeitsbedingungen genügt die Beurteilung eines Arbeitsplatzes oder einer Tätigkeit. Der deutsche Zuschnitt ist damit tätigkeitsbezogen, nicht raumbezogen — nicht „die Halle“, sondern „Instandhaltung an laufenden Anlagen“.</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505"/>
        <w:gridCol w:w="1156"/>
        <w:gridCol w:w="1734"/>
        <w:gridCol w:w="1738"/>
      </w:tblGrid>
      <w:tr>
        <w:trPr>
          <w:tblHeader/>
        </w:trPr>
        <w:tc>
          <w:tcPr>
            <w:tcW w:type="dxa" w:w="2505"/>
            <w:shd w:fill="014259" w:color="auto" w:val="clear"/>
            <w:tcMar>
              <w:top w:type="dxa" w:w="60"/>
              <w:left w:type="dxa" w:w="100"/>
              <w:bottom w:type="dxa" w:w="60"/>
              <w:right w:type="dxa" w:w="100"/>
            </w:tcMar>
          </w:tcPr>
          <w:p>
            <w:pPr>
              <w:pStyle w:val="SaCellHeader"/>
            </w:pPr>
            <w:r>
              <w:t xml:space="preserve">Tätigkeit oder Arbeitsbereich</w:t>
            </w:r>
          </w:p>
        </w:tc>
        <w:tc>
          <w:tcPr>
            <w:tcW w:type="dxa" w:w="2505"/>
            <w:shd w:fill="014259" w:color="auto" w:val="clear"/>
            <w:tcMar>
              <w:top w:type="dxa" w:w="60"/>
              <w:left w:type="dxa" w:w="100"/>
              <w:bottom w:type="dxa" w:w="60"/>
              <w:right w:type="dxa" w:w="100"/>
            </w:tcMar>
          </w:tcPr>
          <w:p>
            <w:pPr>
              <w:pStyle w:val="SaCellHeader"/>
            </w:pPr>
            <w:r>
              <w:t xml:space="preserve">Erfasste Arbeitsplätze</w:t>
            </w:r>
          </w:p>
        </w:tc>
        <w:tc>
          <w:tcPr>
            <w:tcW w:type="dxa" w:w="1156"/>
            <w:shd w:fill="014259" w:color="auto" w:val="clear"/>
            <w:tcMar>
              <w:top w:type="dxa" w:w="60"/>
              <w:left w:type="dxa" w:w="100"/>
              <w:bottom w:type="dxa" w:w="60"/>
              <w:right w:type="dxa" w:w="100"/>
            </w:tcMar>
          </w:tcPr>
          <w:p>
            <w:pPr>
              <w:pStyle w:val="SaCellHeader"/>
            </w:pPr>
            <w:r>
              <w:t xml:space="preserve">Beschäftigte</w:t>
            </w:r>
          </w:p>
        </w:tc>
        <w:tc>
          <w:tcPr>
            <w:tcW w:type="dxa" w:w="1734"/>
            <w:shd w:fill="014259" w:color="auto" w:val="clear"/>
            <w:tcMar>
              <w:top w:type="dxa" w:w="60"/>
              <w:left w:type="dxa" w:w="100"/>
              <w:bottom w:type="dxa" w:w="60"/>
              <w:right w:type="dxa" w:w="100"/>
            </w:tcMar>
          </w:tcPr>
          <w:p>
            <w:pPr>
              <w:pStyle w:val="SaCellHeader"/>
            </w:pPr>
            <w:r>
              <w:t xml:space="preserve">Verantwortlich</w:t>
            </w:r>
          </w:p>
        </w:tc>
        <w:tc>
          <w:tcPr>
            <w:tcW w:type="dxa" w:w="1738"/>
            <w:shd w:fill="014259" w:color="auto" w:val="clear"/>
            <w:tcMar>
              <w:top w:type="dxa" w:w="60"/>
              <w:left w:type="dxa" w:w="100"/>
              <w:bottom w:type="dxa" w:w="60"/>
              <w:right w:type="dxa" w:w="100"/>
            </w:tcMar>
          </w:tcPr>
          <w:p>
            <w:pPr>
              <w:pStyle w:val="SaCellHeader"/>
            </w:pPr>
            <w:r>
              <w:t xml:space="preserve">Begehung am</w:t>
            </w:r>
          </w:p>
        </w:tc>
      </w:tr>
      <w:tr>
        <w:trPr>
          <w:trHeight w:val="460" w:hRule="atLeast"/>
        </w:trPr>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Gleichartig heißt: dieselben Gefährdungen unter denselben Bedingungen. Zwei Arbeitsplätze mit derselben Maschine, aber einer davon im Nachtschichtbetrieb, sind nicht gleichartig.</w:t>
      </w:r>
    </w:p>
    <w:p>
      <w:pPr>
        <w:pStyle w:val="SaH1"/>
      </w:pPr>
      <w:r>
        <w:t xml:space="preserve">3. Methode und Bewertungsmaßstab</w:t>
      </w:r>
    </w:p>
    <w:p>
      <w:pPr>
        <w:pStyle w:val="SaBasis"/>
      </w:pPr>
      <w:r>
        <w:t xml:space="preserve">— betriebliche Praxis, nicht vorgeschrieben</w:t>
      </w:r>
    </w:p>
    <w:p>
      <w:pPr>
        <w:pStyle w:val="SaBody"/>
      </w:pPr>
      <w:r>
        <w:rPr>
          <w:b w:val="false"/>
          <w:bCs w:val="false"/>
        </w:rPr>
        <w:t xml:space="preserve">Das ArbSchG schreibt kein Verfahren und keine Risikomatrix vor. Geprüft wird deshalb nicht der Zahlenwert, sondern ob der Maßstab nachvollziehbar, über die Fassungen hinweg gleich geblieben und mit einer Maßnahme verknüpft ist.</w:t>
      </w:r>
    </w:p>
    <w:p>
      <w:pPr>
        <w:pStyle w:val="SaBody"/>
      </w:pPr>
      <w:r>
        <w:rPr>
          <w:b/>
          <w:bCs/>
        </w:rPr>
        <w:t xml:space="preserve">Schreiben Sie Ihren Maßstab auf, auch wenn er einfach ist. Eine Ziffer ohne ausgeschriebene Skala ist für niemanden prüfbar, der nicht dabei war.</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891"/>
        <w:gridCol w:w="6747"/>
      </w:tblGrid>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Skala Schadensschwere</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[1 = geringfügig … 4 = irreversibel oder tödlich]</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Skala Eintrittswahrscheinlichkeit</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[1 = kaum vorstellbar … 4 = täglich]</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Verknüpfung zum Risikowert</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[z. B. Produkt, 1 bis 16]</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Schwelle, ab der eine Maßnahme zwingend ist</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[und in welcher Frist]</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Beteiligte an der Beurteilung</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[Beschäftigte, Vorgesetzte, Fachkraft, Betriebsarzt, Betriebsrat]</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Herangezogene Quellen</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[Betriebsanweisungen, Sicherheitsdatenblätter, Verbandbuch, Unfallanzeigen, Messungen, TRGS]</w:t>
            </w:r>
          </w:p>
        </w:tc>
      </w:tr>
    </w:tbl>
    <w:p>
      <w:pPr>
        <w:pStyle w:val="SaChrome"/>
      </w:pPr>
    </w:p>
    <w:p>
      <w:pPr>
        <w:pStyle w:val="SaH1"/>
      </w:pPr>
      <w:r>
        <w:t xml:space="preserve">4. Die sechs Gefährdungsquellen des § 5 Abs. 3 ArbSchG</w:t>
      </w:r>
    </w:p>
    <w:p>
      <w:pPr>
        <w:pStyle w:val="SaBasis"/>
      </w:pPr>
      <w:r>
        <w:t xml:space="preserve">— rechtlich vorgeschrieben</w:t>
      </w:r>
    </w:p>
    <w:p>
      <w:pPr>
        <w:pStyle w:val="SaBody"/>
      </w:pPr>
      <w:r>
        <w:rPr>
          <w:b w:val="false"/>
          <w:bCs w:val="false"/>
        </w:rPr>
        <w:t xml:space="preserve">Diese Liste steht im Gesetz, und sie steht hier, weil eine Beurteilung, die eine der sechs auslässt, unvollständig ist — man sieht das aber nur, wenn die Liste im Formular steht. Nummer 6 ist die, die am häufigsten fehlt.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578"/>
        <w:gridCol w:w="5975"/>
        <w:gridCol w:w="3085"/>
      </w:tblGrid>
      <w:tr>
        <w:trPr>
          <w:tblHeader/>
        </w:trPr>
        <w:tc>
          <w:tcPr>
            <w:tcW w:type="dxa" w:w="578"/>
            <w:shd w:fill="014259" w:color="auto" w:val="clear"/>
            <w:tcMar>
              <w:top w:type="dxa" w:w="60"/>
              <w:left w:type="dxa" w:w="100"/>
              <w:bottom w:type="dxa" w:w="60"/>
              <w:right w:type="dxa" w:w="100"/>
            </w:tcMar>
          </w:tcPr>
          <w:p>
            <w:pPr>
              <w:pStyle w:val="SaCellHeader"/>
            </w:pPr>
            <w:r>
              <w:t xml:space="preserve">Nr.</w:t>
            </w:r>
          </w:p>
        </w:tc>
        <w:tc>
          <w:tcPr>
            <w:tcW w:type="dxa" w:w="5975"/>
            <w:shd w:fill="014259" w:color="auto" w:val="clear"/>
            <w:tcMar>
              <w:top w:type="dxa" w:w="60"/>
              <w:left w:type="dxa" w:w="100"/>
              <w:bottom w:type="dxa" w:w="60"/>
              <w:right w:type="dxa" w:w="100"/>
            </w:tcMar>
          </w:tcPr>
          <w:p>
            <w:pPr>
              <w:pStyle w:val="SaCellHeader"/>
            </w:pPr>
            <w:r>
              <w:t xml:space="preserve">Gefährdung kann sich insbesondere ergeben durch</w:t>
            </w:r>
          </w:p>
        </w:tc>
        <w:tc>
          <w:tcPr>
            <w:tcW w:type="dxa" w:w="3085"/>
            <w:shd w:fill="014259" w:color="auto" w:val="clear"/>
            <w:tcMar>
              <w:top w:type="dxa" w:w="60"/>
              <w:left w:type="dxa" w:w="100"/>
              <w:bottom w:type="dxa" w:w="60"/>
              <w:right w:type="dxa" w:w="100"/>
            </w:tcMar>
          </w:tcPr>
          <w:p>
            <w:pPr>
              <w:pStyle w:val="SaCellHeader"/>
            </w:pPr>
            <w:r>
              <w:t xml:space="preserve">In diesem Betrieb geprüft am</w:t>
            </w:r>
          </w:p>
        </w:tc>
      </w:tr>
      <w:tr>
        <w:tc>
          <w:tcPr>
            <w:tcW w:type="dxa" w:w="578"/>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1</w:t>
            </w:r>
          </w:p>
        </w:tc>
        <w:tc>
          <w:tcPr>
            <w:tcW w:type="dxa" w:w="597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die Gestaltung und die Einrichtung der Arbeitsstätte und des Arbeitsplatzes</w:t>
            </w:r>
          </w:p>
        </w:tc>
        <w:tc>
          <w:tcPr>
            <w:tcW w:type="dxa" w:w="30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
            </w:r>
          </w:p>
        </w:tc>
      </w:tr>
      <w:tr>
        <w:tc>
          <w:tcPr>
            <w:tcW w:type="dxa" w:w="578"/>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2</w:t>
            </w:r>
          </w:p>
        </w:tc>
        <w:tc>
          <w:tcPr>
            <w:tcW w:type="dxa" w:w="597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physikalische, chemische und biologische Einwirkungen</w:t>
            </w:r>
          </w:p>
        </w:tc>
        <w:tc>
          <w:tcPr>
            <w:tcW w:type="dxa" w:w="30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
            </w:r>
          </w:p>
        </w:tc>
      </w:tr>
      <w:tr>
        <w:tc>
          <w:tcPr>
            <w:tcW w:type="dxa" w:w="578"/>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3</w:t>
            </w:r>
          </w:p>
        </w:tc>
        <w:tc>
          <w:tcPr>
            <w:tcW w:type="dxa" w:w="597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die Gestaltung, die Auswahl und den Einsatz von Arbeitsmitteln, insbesondere von Arbeitsstoffen, Maschinen, Geräten und Anlagen sowie den Umgang damit</w:t>
            </w:r>
          </w:p>
        </w:tc>
        <w:tc>
          <w:tcPr>
            <w:tcW w:type="dxa" w:w="30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
            </w:r>
          </w:p>
        </w:tc>
      </w:tr>
      <w:tr>
        <w:tc>
          <w:tcPr>
            <w:tcW w:type="dxa" w:w="578"/>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4</w:t>
            </w:r>
          </w:p>
        </w:tc>
        <w:tc>
          <w:tcPr>
            <w:tcW w:type="dxa" w:w="597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die Gestaltung von Arbeits- und Fertigungsverfahren, Arbeitsabläufen und Arbeitszeit und deren Zusammenwirken</w:t>
            </w:r>
          </w:p>
        </w:tc>
        <w:tc>
          <w:tcPr>
            <w:tcW w:type="dxa" w:w="30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
            </w:r>
          </w:p>
        </w:tc>
      </w:tr>
      <w:tr>
        <w:tc>
          <w:tcPr>
            <w:tcW w:type="dxa" w:w="578"/>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5</w:t>
            </w:r>
          </w:p>
        </w:tc>
        <w:tc>
          <w:tcPr>
            <w:tcW w:type="dxa" w:w="597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unzureichende Qualifikation und Unterweisung der Beschäftigten</w:t>
            </w:r>
          </w:p>
        </w:tc>
        <w:tc>
          <w:tcPr>
            <w:tcW w:type="dxa" w:w="30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
            </w:r>
          </w:p>
        </w:tc>
      </w:tr>
      <w:tr>
        <w:tc>
          <w:tcPr>
            <w:tcW w:type="dxa" w:w="578"/>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6</w:t>
            </w:r>
          </w:p>
        </w:tc>
        <w:tc>
          <w:tcPr>
            <w:tcW w:type="dxa" w:w="597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psychische Belastungen bei der Arbeit</w:t>
            </w:r>
          </w:p>
        </w:tc>
        <w:tc>
          <w:tcPr>
            <w:tcW w:type="dxa" w:w="30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
            </w:r>
          </w:p>
        </w:tc>
      </w:tr>
    </w:tbl>
    <w:p>
      <w:pPr>
        <w:pStyle w:val="SaNote"/>
      </w:pPr>
      <w:r>
        <w:t xml:space="preserve">Die Aufzählung ist nicht abschließend — „insbesondere“ lässt Raum für alles, was der Betrieb zusätzlich mitbringt. Sie ist aber ein Mindestraster, und die sechste Zeile ist seit 2013 ausdrücklich Teil davon.</w:t>
      </w:r>
    </w:p>
    <w:p>
      <w:r>
        <w:br w:type="page"/>
      </w:r>
    </w:p>
    <w:p>
      <w:pPr>
        <w:pStyle w:val="SaH1"/>
      </w:pPr>
      <w:r>
        <w:t xml:space="preserve">5. Ermittelte Gefährdungen und festgelegte Maßnahmen</w:t>
      </w:r>
    </w:p>
    <w:p>
      <w:pPr>
        <w:pStyle w:val="SaBasis"/>
      </w:pPr>
      <w:r>
        <w:t xml:space="preserve">— rechtlich vorgeschrieben</w:t>
      </w:r>
    </w:p>
    <w:p>
      <w:pPr>
        <w:pStyle w:val="SaBody"/>
      </w:pPr>
      <w:r>
        <w:rPr>
          <w:b w:val="false"/>
          <w:bCs w:val="false"/>
        </w:rPr>
        <w:t xml:space="preserve">Ein Blatt je Tätigkeit aus Abschnitt 2: diese Seite so oft vervielfältigen wie nötig. § 6 Abs. 1 verlangt Unterlagen über das Ergebnis *und* über die festgelegten Maßnahmen — beides in einer Zeile zu halten ist der Grund, warum die letzte Spalte die breiteste ist.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Tätigkeit</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Datum der Beurteilung</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Beteiligte</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Betroffene Beschäftigte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
        <w:gridCol w:w="2023"/>
        <w:gridCol w:w="1734"/>
        <w:gridCol w:w="1638"/>
        <w:gridCol w:w="1060"/>
        <w:gridCol w:w="2702"/>
      </w:tblGrid>
      <w:tr>
        <w:trPr>
          <w:tblHeader/>
        </w:trPr>
        <w:tc>
          <w:tcPr>
            <w:tcW w:type="dxa" w:w="481"/>
            <w:shd w:fill="014259" w:color="auto" w:val="clear"/>
            <w:tcMar>
              <w:top w:type="dxa" w:w="60"/>
              <w:left w:type="dxa" w:w="100"/>
              <w:bottom w:type="dxa" w:w="60"/>
              <w:right w:type="dxa" w:w="100"/>
            </w:tcMar>
          </w:tcPr>
          <w:p>
            <w:pPr>
              <w:pStyle w:val="SaCellHeader"/>
            </w:pPr>
            <w:r>
              <w:t xml:space="preserve">Nr.</w:t>
            </w:r>
          </w:p>
        </w:tc>
        <w:tc>
          <w:tcPr>
            <w:tcW w:type="dxa" w:w="2023"/>
            <w:shd w:fill="014259" w:color="auto" w:val="clear"/>
            <w:tcMar>
              <w:top w:type="dxa" w:w="60"/>
              <w:left w:type="dxa" w:w="100"/>
              <w:bottom w:type="dxa" w:w="60"/>
              <w:right w:type="dxa" w:w="100"/>
            </w:tcMar>
          </w:tcPr>
          <w:p>
            <w:pPr>
              <w:pStyle w:val="SaCellHeader"/>
            </w:pPr>
            <w:r>
              <w:t xml:space="preserve">Gefährdung (Quelle nach § 5 Abs. 3)</w:t>
            </w:r>
          </w:p>
        </w:tc>
        <w:tc>
          <w:tcPr>
            <w:tcW w:type="dxa" w:w="1734"/>
            <w:shd w:fill="014259" w:color="auto" w:val="clear"/>
            <w:tcMar>
              <w:top w:type="dxa" w:w="60"/>
              <w:left w:type="dxa" w:w="100"/>
              <w:bottom w:type="dxa" w:w="60"/>
              <w:right w:type="dxa" w:w="100"/>
            </w:tcMar>
          </w:tcPr>
          <w:p>
            <w:pPr>
              <w:pStyle w:val="SaCellHeader"/>
            </w:pPr>
            <w:r>
              <w:t xml:space="preserve">Wer ist betroffen, und wie</w:t>
            </w:r>
          </w:p>
        </w:tc>
        <w:tc>
          <w:tcPr>
            <w:tcW w:type="dxa" w:w="1638"/>
            <w:shd w:fill="014259" w:color="auto" w:val="clear"/>
            <w:tcMar>
              <w:top w:type="dxa" w:w="60"/>
              <w:left w:type="dxa" w:w="100"/>
              <w:bottom w:type="dxa" w:w="60"/>
              <w:right w:type="dxa" w:w="100"/>
            </w:tcMar>
          </w:tcPr>
          <w:p>
            <w:pPr>
              <w:pStyle w:val="SaCellHeader"/>
            </w:pPr>
            <w:r>
              <w:t xml:space="preserve">Bereits vorhandene Maßnahmen</w:t>
            </w:r>
          </w:p>
        </w:tc>
        <w:tc>
          <w:tcPr>
            <w:tcW w:type="dxa" w:w="1060"/>
            <w:shd w:fill="014259" w:color="auto" w:val="clear"/>
            <w:tcMar>
              <w:top w:type="dxa" w:w="60"/>
              <w:left w:type="dxa" w:w="100"/>
              <w:bottom w:type="dxa" w:w="60"/>
              <w:right w:type="dxa" w:w="100"/>
            </w:tcMar>
          </w:tcPr>
          <w:p>
            <w:pPr>
              <w:pStyle w:val="SaCellHeader"/>
            </w:pPr>
            <w:r>
              <w:t xml:space="preserve">S × W = Risiko</w:t>
            </w:r>
          </w:p>
        </w:tc>
        <w:tc>
          <w:tcPr>
            <w:tcW w:type="dxa" w:w="2702"/>
            <w:shd w:fill="014259" w:color="auto" w:val="clear"/>
            <w:tcMar>
              <w:top w:type="dxa" w:w="60"/>
              <w:left w:type="dxa" w:w="100"/>
              <w:bottom w:type="dxa" w:w="60"/>
              <w:right w:type="dxa" w:w="100"/>
            </w:tcMar>
          </w:tcPr>
          <w:p>
            <w:pPr>
              <w:pStyle w:val="SaCellHeader"/>
            </w:pPr>
            <w:r>
              <w:t xml:space="preserve">Festgelegte Maßnahme · verantwortlich · Termin</w:t>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6. Rangfolge der Maßnahmen</w:t>
      </w:r>
    </w:p>
    <w:p>
      <w:pPr>
        <w:pStyle w:val="SaBasis"/>
      </w:pPr>
      <w:r>
        <w:t xml:space="preserve">— rechtlich vorgeschrieben</w:t>
      </w:r>
    </w:p>
    <w:p>
      <w:pPr>
        <w:pStyle w:val="SaBody"/>
      </w:pPr>
      <w:r>
        <w:rPr>
          <w:b w:val="false"/>
          <w:bCs w:val="false"/>
        </w:rPr>
        <w:t xml:space="preserve">Die Rangfolge steht im Gesetz, auch wenn das Kürzel TOP dort nicht auftaucht. § 4 Nr. 2 ArbSchG: „Gefahren sind an ihrer Quelle zu bekämpfen.“ § 4 Nr. 5: „individuelle Schutzmaßnahmen sind nachrangig zu anderen Maßnahmen.“</w:t>
      </w:r>
    </w:p>
    <w:p>
      <w:pPr>
        <w:pStyle w:val="SaBody"/>
      </w:pPr>
      <w:r>
        <w:rPr>
          <w:b/>
          <w:bCs/>
        </w:rPr>
        <w:t xml:space="preserve">Persönliche Schutzausrüstung als erste Antwort ist damit kein Ermessensfehler, sondern ein Verstoß gegen die Reihenfolge — und er ist im Formular sichtbar: die Spalte für technische Maßnahmen bleibt leer.</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Substitution oder Beseitigung der Gefahrenquelle wurde geprüft; die Ablehnung ist begründet festgehalten.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Technische Maßnahmen wurden vor organisatorischen geprüft.</w:t>
            </w:r>
          </w:p>
          <w:p>
            <w:pPr>
              <w:pStyle w:val="SaHint"/>
            </w:pPr>
            <w:r>
              <w:t xml:space="preserve">Kapselung, Absaugung, Trennung, Umkonstruktion, Hebehilfen.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Organisatorische Maßnahmen sind als Betriebsanweisung oder Verfahren schriftlich festgelegt, nicht als Gewohnheit.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Persönliche Schutzausrüstung ist als nachrangige Maßnahme dokumentiert, mit Unterweisung und Tragezeitbegrenzung, wo erforderlich.</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Jede Maßnahme hat eine verantwortliche Person und einen Termin.</w:t>
            </w:r>
          </w:p>
        </w:tc>
      </w:tr>
    </w:tbl>
    <w:p>
      <w:pPr>
        <w:pStyle w:val="SaChrome"/>
      </w:pPr>
    </w:p>
    <w:p>
      <w:pPr>
        <w:pStyle w:val="SaH1"/>
      </w:pPr>
      <w:r>
        <w:t xml:space="preserve">7. Wirksamkeitskontrolle</w:t>
      </w:r>
    </w:p>
    <w:p>
      <w:pPr>
        <w:pStyle w:val="SaBasis"/>
      </w:pPr>
      <w:r>
        <w:t xml:space="preserve">— rechtlich vorgeschrieben</w:t>
      </w:r>
    </w:p>
    <w:p>
      <w:pPr>
        <w:pStyle w:val="SaBody"/>
      </w:pPr>
      <w:r>
        <w:rPr>
          <w:b w:val="false"/>
          <w:bCs w:val="false"/>
        </w:rPr>
        <w:t xml:space="preserve">Dies ist der Abschnitt, der in umlaufenden Vorlagen am häufigsten fehlt, und er ist keine gute Praxis, sondern Teil der Dokumentationspflicht. § 6 Abs. 1 ArbSchG verlangt Unterlagen, aus denen ersichtlich sind: das Ergebnis der Gefährdungsbeurteilung, die festgelegten Maßnahmen — und „das Ergebnis ihrer Überprüfung“.</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120"/>
        <w:gridCol w:w="1156"/>
        <w:gridCol w:w="2891"/>
        <w:gridCol w:w="2313"/>
        <w:gridCol w:w="1158"/>
      </w:tblGrid>
      <w:tr>
        <w:trPr>
          <w:tblHeader/>
        </w:trPr>
        <w:tc>
          <w:tcPr>
            <w:tcW w:type="dxa" w:w="2120"/>
            <w:shd w:fill="014259" w:color="auto" w:val="clear"/>
            <w:tcMar>
              <w:top w:type="dxa" w:w="60"/>
              <w:left w:type="dxa" w:w="100"/>
              <w:bottom w:type="dxa" w:w="60"/>
              <w:right w:type="dxa" w:w="100"/>
            </w:tcMar>
          </w:tcPr>
          <w:p>
            <w:pPr>
              <w:pStyle w:val="SaCellHeader"/>
            </w:pPr>
            <w:r>
              <w:t xml:space="preserve">Maßnahme (Nr. aus Abschnitt 5)</w:t>
            </w:r>
          </w:p>
        </w:tc>
        <w:tc>
          <w:tcPr>
            <w:tcW w:type="dxa" w:w="1156"/>
            <w:shd w:fill="014259" w:color="auto" w:val="clear"/>
            <w:tcMar>
              <w:top w:type="dxa" w:w="60"/>
              <w:left w:type="dxa" w:w="100"/>
              <w:bottom w:type="dxa" w:w="60"/>
              <w:right w:type="dxa" w:w="100"/>
            </w:tcMar>
          </w:tcPr>
          <w:p>
            <w:pPr>
              <w:pStyle w:val="SaCellHeader"/>
            </w:pPr>
            <w:r>
              <w:t xml:space="preserve">Umgesetzt am</w:t>
            </w:r>
          </w:p>
        </w:tc>
        <w:tc>
          <w:tcPr>
            <w:tcW w:type="dxa" w:w="2891"/>
            <w:shd w:fill="014259" w:color="auto" w:val="clear"/>
            <w:tcMar>
              <w:top w:type="dxa" w:w="60"/>
              <w:left w:type="dxa" w:w="100"/>
              <w:bottom w:type="dxa" w:w="60"/>
              <w:right w:type="dxa" w:w="100"/>
            </w:tcMar>
          </w:tcPr>
          <w:p>
            <w:pPr>
              <w:pStyle w:val="SaCellHeader"/>
            </w:pPr>
            <w:r>
              <w:t xml:space="preserve">Wie wurde die Wirksamkeit geprüft</w:t>
            </w:r>
          </w:p>
        </w:tc>
        <w:tc>
          <w:tcPr>
            <w:tcW w:type="dxa" w:w="2313"/>
            <w:shd w:fill="014259" w:color="auto" w:val="clear"/>
            <w:tcMar>
              <w:top w:type="dxa" w:w="60"/>
              <w:left w:type="dxa" w:w="100"/>
              <w:bottom w:type="dxa" w:w="60"/>
              <w:right w:type="dxa" w:w="100"/>
            </w:tcMar>
          </w:tcPr>
          <w:p>
            <w:pPr>
              <w:pStyle w:val="SaCellHeader"/>
            </w:pPr>
            <w:r>
              <w:t xml:space="preserve">Ergebnis der Überprüfung</w:t>
            </w:r>
          </w:p>
        </w:tc>
        <w:tc>
          <w:tcPr>
            <w:tcW w:type="dxa" w:w="1158"/>
            <w:shd w:fill="014259" w:color="auto" w:val="clear"/>
            <w:tcMar>
              <w:top w:type="dxa" w:w="60"/>
              <w:left w:type="dxa" w:w="100"/>
              <w:bottom w:type="dxa" w:w="60"/>
              <w:right w:type="dxa" w:w="100"/>
            </w:tcMar>
          </w:tcPr>
          <w:p>
            <w:pPr>
              <w:pStyle w:val="SaCellHeader"/>
            </w:pPr>
            <w:r>
              <w:t xml:space="preserve">Geprüft von</w:t>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Umgesetzt ist nicht wirksam. Eine Absaugung, die läuft, aber am falschen Punkt abgesaugt, ist eine erledigte Maßnahme und eine offene Gefährdung — und genau diese Unterscheidung verlangt § 6 Abs. 1 zu dokumentieren.</w:t>
      </w:r>
    </w:p>
    <w:p>
      <w:pPr>
        <w:pStyle w:val="SaH1"/>
      </w:pPr>
      <w:r>
        <w:t xml:space="preserve">8. Unterweisung der Beschäftigten</w:t>
      </w:r>
    </w:p>
    <w:p>
      <w:pPr>
        <w:pStyle w:val="SaBasis"/>
      </w:pPr>
      <w:r>
        <w:t xml:space="preserve">— rechtlich vorgeschrieben</w:t>
      </w:r>
    </w:p>
    <w:p>
      <w:pPr>
        <w:pStyle w:val="SaBody"/>
      </w:pPr>
      <w:r>
        <w:rPr>
          <w:b w:val="false"/>
          <w:bCs w:val="false"/>
        </w:rPr>
        <w:t xml:space="preserve">§ 12 Abs. 1 ArbSchG nennt die Anlässe, nicht eine Frequenz: bei der Einstellung, bei Veränderungen im Aufgabenbereich, bei der Einführung neuer Arbeitsmittel oder einer neuen Technologie — und zwar vor Aufnahme der Tätigkeit. Die Unterweisung muss an die Gefährdungsentwicklung angepasst sein und erforderlichenfalls regelmäßig wiederholt werden.</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313"/>
        <w:gridCol w:w="2313"/>
        <w:gridCol w:w="2505"/>
        <w:gridCol w:w="1156"/>
        <w:gridCol w:w="1351"/>
      </w:tblGrid>
      <w:tr>
        <w:trPr>
          <w:tblHeader/>
        </w:trPr>
        <w:tc>
          <w:tcPr>
            <w:tcW w:type="dxa" w:w="2313"/>
            <w:shd w:fill="014259" w:color="auto" w:val="clear"/>
            <w:tcMar>
              <w:top w:type="dxa" w:w="60"/>
              <w:left w:type="dxa" w:w="100"/>
              <w:bottom w:type="dxa" w:w="60"/>
              <w:right w:type="dxa" w:w="100"/>
            </w:tcMar>
          </w:tcPr>
          <w:p>
            <w:pPr>
              <w:pStyle w:val="SaCellHeader"/>
            </w:pPr>
            <w:r>
              <w:t xml:space="preserve">Tätigkeit oder Bereich</w:t>
            </w:r>
          </w:p>
        </w:tc>
        <w:tc>
          <w:tcPr>
            <w:tcW w:type="dxa" w:w="2313"/>
            <w:shd w:fill="014259" w:color="auto" w:val="clear"/>
            <w:tcMar>
              <w:top w:type="dxa" w:w="60"/>
              <w:left w:type="dxa" w:w="100"/>
              <w:bottom w:type="dxa" w:w="60"/>
              <w:right w:type="dxa" w:w="100"/>
            </w:tcMar>
          </w:tcPr>
          <w:p>
            <w:pPr>
              <w:pStyle w:val="SaCellHeader"/>
            </w:pPr>
            <w:r>
              <w:t xml:space="preserve">Anlass</w:t>
            </w:r>
          </w:p>
        </w:tc>
        <w:tc>
          <w:tcPr>
            <w:tcW w:type="dxa" w:w="2505"/>
            <w:shd w:fill="014259" w:color="auto" w:val="clear"/>
            <w:tcMar>
              <w:top w:type="dxa" w:w="60"/>
              <w:left w:type="dxa" w:w="100"/>
              <w:bottom w:type="dxa" w:w="60"/>
              <w:right w:type="dxa" w:w="100"/>
            </w:tcMar>
          </w:tcPr>
          <w:p>
            <w:pPr>
              <w:pStyle w:val="SaCellHeader"/>
            </w:pPr>
            <w:r>
              <w:t xml:space="preserve">Inhalt</w:t>
            </w:r>
          </w:p>
        </w:tc>
        <w:tc>
          <w:tcPr>
            <w:tcW w:type="dxa" w:w="1156"/>
            <w:shd w:fill="014259" w:color="auto" w:val="clear"/>
            <w:tcMar>
              <w:top w:type="dxa" w:w="60"/>
              <w:left w:type="dxa" w:w="100"/>
              <w:bottom w:type="dxa" w:w="60"/>
              <w:right w:type="dxa" w:w="100"/>
            </w:tcMar>
          </w:tcPr>
          <w:p>
            <w:pPr>
              <w:pStyle w:val="SaCellHeader"/>
            </w:pPr>
            <w:r>
              <w:t xml:space="preserve">Datum</w:t>
            </w:r>
          </w:p>
        </w:tc>
        <w:tc>
          <w:tcPr>
            <w:tcW w:type="dxa" w:w="1351"/>
            <w:shd w:fill="014259" w:color="auto" w:val="clear"/>
            <w:tcMar>
              <w:top w:type="dxa" w:w="60"/>
              <w:left w:type="dxa" w:w="100"/>
              <w:bottom w:type="dxa" w:w="60"/>
              <w:right w:type="dxa" w:w="100"/>
            </w:tcMar>
          </w:tcPr>
          <w:p>
            <w:pPr>
              <w:pStyle w:val="SaCellHeader"/>
            </w:pPr>
            <w:r>
              <w:t xml:space="preserve">Unterweisende Person</w:t>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Die häufig genannte Jahresfrist steht nicht im ArbSchG, sondern im Regelwerk der Unfallversicherungsträger. Wer sie anwendet, wendet eine Vorschrift der Berufsgenossenschaft an — was zulässig und richtig ist, aber eine andere Rechtsgrundlage hat als dieser Abschnitt.</w:t>
      </w:r>
    </w:p>
    <w:p>
      <w:pPr>
        <w:pStyle w:val="SaH1"/>
      </w:pPr>
      <w:r>
        <w:t xml:space="preserve">9. Fortschreibung und Aufbewahrung</w:t>
      </w:r>
    </w:p>
    <w:p>
      <w:pPr>
        <w:pStyle w:val="SaBasis"/>
      </w:pPr>
      <w:r>
        <w:t xml:space="preserve">— betriebliche Praxis, nicht vorgeschrieben</w:t>
      </w:r>
    </w:p>
    <w:p>
      <w:pPr>
        <w:pStyle w:val="SaBody"/>
      </w:pPr>
      <w:r>
        <w:rPr>
          <w:b w:val="false"/>
          <w:bCs w:val="false"/>
        </w:rPr>
        <w:t xml:space="preserve">Das ArbSchG nennt für die Unterlagen nach § 6 Abs. 1 weder eine Frist noch eine Form. Aufbewahrungsfristen kommen aus dem Fachrecht — Gefahrstoffe, Biostoffe, Strahlenschutz — und können Jahrzehnte betragen. Was hier gebraucht wird, ist deshalb eine nachvollziehbare Fassungsgeschichte, unabhängig davon, welche Frist im Einzelfall greift.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963"/>
        <w:gridCol w:w="1156"/>
        <w:gridCol w:w="3276"/>
        <w:gridCol w:w="1927"/>
        <w:gridCol w:w="2316"/>
      </w:tblGrid>
      <w:tr>
        <w:trPr>
          <w:tblHeader/>
        </w:trPr>
        <w:tc>
          <w:tcPr>
            <w:tcW w:type="dxa" w:w="963"/>
            <w:shd w:fill="014259" w:color="auto" w:val="clear"/>
            <w:tcMar>
              <w:top w:type="dxa" w:w="60"/>
              <w:left w:type="dxa" w:w="100"/>
              <w:bottom w:type="dxa" w:w="60"/>
              <w:right w:type="dxa" w:w="100"/>
            </w:tcMar>
          </w:tcPr>
          <w:p>
            <w:pPr>
              <w:pStyle w:val="SaCellHeader"/>
            </w:pPr>
            <w:r>
              <w:t xml:space="preserve">Fassung</w:t>
            </w:r>
          </w:p>
        </w:tc>
        <w:tc>
          <w:tcPr>
            <w:tcW w:type="dxa" w:w="1156"/>
            <w:shd w:fill="014259" w:color="auto" w:val="clear"/>
            <w:tcMar>
              <w:top w:type="dxa" w:w="60"/>
              <w:left w:type="dxa" w:w="100"/>
              <w:bottom w:type="dxa" w:w="60"/>
              <w:right w:type="dxa" w:w="100"/>
            </w:tcMar>
          </w:tcPr>
          <w:p>
            <w:pPr>
              <w:pStyle w:val="SaCellHeader"/>
            </w:pPr>
            <w:r>
              <w:t xml:space="preserve">Datum</w:t>
            </w:r>
          </w:p>
        </w:tc>
        <w:tc>
          <w:tcPr>
            <w:tcW w:type="dxa" w:w="3276"/>
            <w:shd w:fill="014259" w:color="auto" w:val="clear"/>
            <w:tcMar>
              <w:top w:type="dxa" w:w="60"/>
              <w:left w:type="dxa" w:w="100"/>
              <w:bottom w:type="dxa" w:w="60"/>
              <w:right w:type="dxa" w:w="100"/>
            </w:tcMar>
          </w:tcPr>
          <w:p>
            <w:pPr>
              <w:pStyle w:val="SaCellHeader"/>
            </w:pPr>
            <w:r>
              <w:t xml:space="preserve">Anlass der Fortschreibung</w:t>
            </w:r>
          </w:p>
        </w:tc>
        <w:tc>
          <w:tcPr>
            <w:tcW w:type="dxa" w:w="1927"/>
            <w:shd w:fill="014259" w:color="auto" w:val="clear"/>
            <w:tcMar>
              <w:top w:type="dxa" w:w="60"/>
              <w:left w:type="dxa" w:w="100"/>
              <w:bottom w:type="dxa" w:w="60"/>
              <w:right w:type="dxa" w:w="100"/>
            </w:tcMar>
          </w:tcPr>
          <w:p>
            <w:pPr>
              <w:pStyle w:val="SaCellHeader"/>
            </w:pPr>
            <w:r>
              <w:t xml:space="preserve">Betroffene Tätigkeiten</w:t>
            </w:r>
          </w:p>
        </w:tc>
        <w:tc>
          <w:tcPr>
            <w:tcW w:type="dxa" w:w="2316"/>
            <w:shd w:fill="014259" w:color="auto" w:val="clear"/>
            <w:tcMar>
              <w:top w:type="dxa" w:w="60"/>
              <w:left w:type="dxa" w:w="100"/>
              <w:bottom w:type="dxa" w:w="60"/>
              <w:right w:type="dxa" w:w="100"/>
            </w:tcMar>
          </w:tcPr>
          <w:p>
            <w:pPr>
              <w:pStyle w:val="SaCellHeader"/>
            </w:pPr>
            <w:r>
              <w:t xml:space="preserve">Erstellt von</w:t>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10. Verantwortung</w:t>
      </w:r>
    </w:p>
    <w:p>
      <w:pPr>
        <w:pStyle w:val="SaBasis"/>
      </w:pPr>
      <w:r>
        <w:t xml:space="preserve">— betriebliche Praxis, nicht vorgeschrieben</w:t>
      </w:r>
    </w:p>
    <w:p>
      <w:pPr>
        <w:pStyle w:val="SaBody"/>
      </w:pPr>
      <w:r>
        <w:rPr>
          <w:b w:val="false"/>
          <w:bCs w:val="false"/>
        </w:rPr>
        <w:t xml:space="preserve">Keine Unterschrift ist gesetzlich vorgeschrieben. Sie steht hier, weil die Verantwortung für die Gefährdungsbeurteilung beim Arbeitgeber liegt und weder auf die Fachkraft für Arbeitssicherheit noch auf den Betriebsarzt übergeht — beide beraten. Eine Unterlage ohne Unterschrift beantwortet die Frage, wer entschieden hat, nicht.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3212"/>
        <w:gridCol w:w="3212"/>
        <w:gridCol w:w="3214"/>
      </w:tblGrid>
      <w:tr>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Arbeitgeber oder verantwortliche Führungskraft</w:t>
            </w:r>
          </w:p>
          <w:p>
            <w:pPr>
              <w:pStyle w:val="SaHint"/>
            </w:pPr>
            <w:r>
              <w:t xml:space="preserve">Name, Funktion, Datum</w:t>
            </w:r>
          </w:p>
        </w:tc>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Fachkraft für Arbeitssicherheit / Betriebsarzt</w:t>
            </w:r>
          </w:p>
          <w:p>
            <w:pPr>
              <w:pStyle w:val="SaHint"/>
            </w:pPr>
            <w:r>
              <w:t xml:space="preserve">Beratend — Name, Datum</w:t>
            </w:r>
          </w:p>
        </w:tc>
        <w:tc>
          <w:tcPr>
            <w:tcW w:type="dxa" w:w="321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Betriebs- oder Personalrat</w:t>
            </w:r>
          </w:p>
          <w:p>
            <w:pPr>
              <w:pStyle w:val="SaHint"/>
            </w:pPr>
            <w:r>
              <w:t xml:space="preserve">Kenntnisnahme — nicht vorgeschrieben</w:t>
            </w:r>
          </w:p>
        </w:tc>
      </w:tr>
      <w:tr>
        <w:trPr>
          <w:trHeight w:val="1100" w:hRule="atLeast"/>
        </w:trPr>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Quellen</w:t>
      </w:r>
    </w:p>
    <w:p>
      <w:pPr>
        <w:pStyle w:val="ListParagraph"/>
        <w:pStyle w:val="SaNote"/>
        <w:numPr>
          <w:ilvl w:val="0"/>
          <w:numId w:val="1"/>
        </w:numPr>
      </w:pPr>
      <w:r>
        <w:t xml:space="preserve">ArbSchG § 5 — Beurteilung der Arbeitsbedingungen — </w:t>
      </w:r>
      <w:hyperlink w:history="1" r:id="rIdugchjpcpjjb64ofrx4i-0">
        <w:r>
          <w:rPr>
            <w:color w:val="005674"/>
            <w:u w:val="single"/>
          </w:rPr>
          <w:t xml:space="preserve">https://www.gesetze-im-internet.de/arbschg/__5.html</w:t>
        </w:r>
      </w:hyperlink>
    </w:p>
    <w:p>
      <w:pPr>
        <w:pStyle w:val="ListParagraph"/>
        <w:pStyle w:val="SaNote"/>
        <w:numPr>
          <w:ilvl w:val="0"/>
          <w:numId w:val="1"/>
        </w:numPr>
      </w:pPr>
      <w:r>
        <w:t xml:space="preserve">ArbSchG § 6 — Dokumentation — </w:t>
      </w:r>
      <w:hyperlink w:history="1" r:id="rIdqekna5ayf5xr8h89_usdt">
        <w:r>
          <w:rPr>
            <w:color w:val="005674"/>
            <w:u w:val="single"/>
          </w:rPr>
          <w:t xml:space="preserve">https://www.gesetze-im-internet.de/arbschg/__6.html</w:t>
        </w:r>
      </w:hyperlink>
    </w:p>
    <w:p>
      <w:pPr>
        <w:pStyle w:val="ListParagraph"/>
        <w:pStyle w:val="SaNote"/>
        <w:numPr>
          <w:ilvl w:val="0"/>
          <w:numId w:val="1"/>
        </w:numPr>
      </w:pPr>
      <w:r>
        <w:t xml:space="preserve">ArbSchG § 4 — allgemeine Grundsätze, mit der Rangfolge der Maßnahmen — </w:t>
      </w:r>
      <w:hyperlink w:history="1" r:id="rIdz97ta7ypds1d5okqjne6s">
        <w:r>
          <w:rPr>
            <w:color w:val="005674"/>
            <w:u w:val="single"/>
          </w:rPr>
          <w:t xml:space="preserve">https://www.gesetze-im-internet.de/arbschg/__4.html</w:t>
        </w:r>
      </w:hyperlink>
    </w:p>
    <w:p>
      <w:pPr>
        <w:pStyle w:val="ListParagraph"/>
        <w:pStyle w:val="SaNote"/>
        <w:numPr>
          <w:ilvl w:val="0"/>
          <w:numId w:val="1"/>
        </w:numPr>
      </w:pPr>
      <w:r>
        <w:t xml:space="preserve">ArbSchG § 12 — Unterweisung — </w:t>
      </w:r>
      <w:hyperlink w:history="1" r:id="rId9kpsmrejx1itpzej-dsrv">
        <w:r>
          <w:rPr>
            <w:color w:val="005674"/>
            <w:u w:val="single"/>
          </w:rPr>
          <w:t xml:space="preserve">https://www.gesetze-im-internet.de/arbschg/__12.html</w:t>
        </w:r>
      </w:hyperlink>
    </w:p>
    <w:p>
      <w:pPr>
        <w:pStyle w:val="SaNote"/>
      </w:pPr>
      <w:r>
        <w:rPr>
          <w:b w:val="false"/>
          <w:bCs w:val="false"/>
        </w:rPr>
        <w:t xml:space="preserve">Inhalt zuletzt geprüft am 2026-09-08 · Die Seite zu dieser Vorlage — https://safeally.net/de-de/vorlagen/gefaehrdungsbeurteilung-vorlage/</w:t>
      </w:r>
    </w:p>
    <w:p>
      <w:pPr>
        <w:pStyle w:val="SaNote"/>
      </w:pPr>
      <w:r>
        <w:rPr>
          <w:b w:val="false"/>
          <w:bCs w:val="false"/>
        </w:rPr>
        <w:t xml:space="preserve">SafeAlly — safeally.net · kostenlos, ohne Konto, bearbeitbares Dokument</w:t>
      </w:r>
    </w:p>
    <w:sectPr>
      <w:headerReference w:type="default" r:id="rId7"/>
      <w:footerReference w:type="default" r:id="rId8"/>
      <w:pgSz w:w="11906" w:h="16838"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638"/>
      </w:tabs>
    </w:pPr>
    <w:r>
      <w:t xml:space="preserve">Inhalt zuletzt geprüft am 2026-09-08 · safeally.net</w:t>
    </w:r>
    <w:r>
      <w:t xml:space="preserve">	</w:t>
      <w:t xml:space="preserve">Seite </w:t>
      <w:fldChar w:fldCharType="begin"/>
      <w:instrText xml:space="preserve">PAGE</w:instrText>
      <w:fldChar w:fldCharType="separate"/>
      <w:fldChar w:fldCharType="end"/>
    </w:r>
    <w:r>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Gefährdungsbeurteilung — Betrieb: …………………………………… — Fassung Nr.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gesetze-im-internet.de/arbschg/__5.html" TargetMode="External"/><Relationship Id="rIdqekna5ayf5xr8h89_usdt" Type="http://schemas.openxmlformats.org/officeDocument/2006/relationships/hyperlink" Target="https://www.gesetze-im-internet.de/arbschg/__6.html" TargetMode="External"/><Relationship Id="rIdz97ta7ypds1d5okqjne6s" Type="http://schemas.openxmlformats.org/officeDocument/2006/relationships/hyperlink" Target="https://www.gesetze-im-internet.de/arbschg/__4.html" TargetMode="External"/><Relationship Id="rId9kpsmrejx1itpzej-dsrv" Type="http://schemas.openxmlformats.org/officeDocument/2006/relationships/hyperlink" Target="https://www.gesetze-im-internet.de/arbschg/__12.html"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 — Dokumentation nach § 6 ArbSchG</dc:title>
  <dc:subject>Blanko-Dokumentation der Gefährdungsbeurteilung nach §§ 5 und 6 ArbSchG — Deutschland. SafeAlly, safeally.net.</dc:subject>
  <dc:creator>SafeAlly — safeally.net</dc:creator>
  <dc:description>Blanko-Dokumentation der Gefährdungsbeurteilung nach §§ 5 und 6 ArbSchG — Deutschland.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