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Hazard assessment and control record</w:t>
      </w:r>
    </w:p>
    <w:p>
      <w:pPr>
        <w:pStyle w:val="SaSubtitle"/>
      </w:pPr>
      <w:r>
        <w:t xml:space="preserve">Canada — federal (COHSR Part XIX) and provincial. Which duty applies to you is settled in section 1.</w:t>
      </w:r>
    </w:p>
    <w:tbl>
      <w:tblPr>
        <w:tblW w:type="dxa" w:w="9972"/>
        <w:tblBorders>
          <w:top w:val="single" w:color="FFC250" w:sz="8"/>
          <w:left w:val="single" w:color="FFC250" w:sz="8"/>
          <w:bottom w:val="single" w:color="FFC250" w:sz="8"/>
          <w:right w:val="single" w:color="FFC250" w:sz="8"/>
          <w:insideH w:val="none" w:color="auto" w:sz="0"/>
          <w:insideV w:val="none" w:color="auto" w:sz="0"/>
        </w:tblBorders>
      </w:tblPr>
      <w:tblGrid>
        <w:gridCol w:w="9972"/>
      </w:tblGrid>
      <w:tr>
        <w:tc>
          <w:tcPr>
            <w:tcW w:type="dxa" w:w="9972"/>
            <w:shd w:fill="FFEED3" w:color="auto" w:val="clear"/>
            <w:tcMar>
              <w:top w:type="dxa" w:w="160"/>
              <w:left w:type="dxa" w:w="200"/>
              <w:bottom w:type="dxa" w:w="160"/>
              <w:right w:type="dxa" w:w="200"/>
            </w:tcMar>
          </w:tcPr>
          <w:p>
            <w:pPr>
              <w:pStyle w:val="SaCell"/>
            </w:pPr>
            <w:r>
              <w:rPr>
                <w:b/>
                <w:bCs/>
              </w:rPr>
              <w:t xml:space="preserve">What this record is not</w:t>
            </w:r>
          </w:p>
          <w:p>
            <w:pPr>
              <w:pStyle w:val="SaCell"/>
            </w:pPr>
            <w:r>
              <w:t xml:space="preserve">It is not a Canadian equivalent of Europe's single risk-assessment document, because no such document exists here. What must be written down depends on your jurisdiction, and section 1 is where you settle that before filling in anything else. Filling this in does not assess anything either: the assessment happens at the work site, with the workers who do the job. Nothing here is legal advice.</w:t>
            </w:r>
          </w:p>
        </w:tc>
      </w:tr>
    </w:tbl>
    <w:p>
      <w:pPr>
        <w:pStyle w:val="SaChrome"/>
      </w:pPr>
    </w:p>
    <w:p>
      <w:pPr>
        <w:pStyle w:val="SaBody"/>
      </w:pPr>
      <w:r>
        <w:rPr>
          <w:b w:val="false"/>
          <w:bCs w:val="false"/>
        </w:rPr>
        <w:t xml:space="preserve">The shaded areas are yours to fill in. Anything in square brackets is an example — replace it. This document is editable: drop what does not apply to you, but read each section's note below first.</w:t>
      </w:r>
    </w:p>
    <w:p>
      <w:pPr>
        <w:pStyle w:val="SaH1"/>
      </w:pPr>
      <w:r>
        <w:t xml:space="preserve">1. Which duty applies to you</w:t>
      </w:r>
    </w:p>
    <w:p>
      <w:pPr>
        <w:pStyle w:val="SaBasis"/>
      </w:pPr>
      <w:r>
        <w:t xml:space="preserve">— required by law</w:t>
      </w:r>
    </w:p>
    <w:p>
      <w:pPr>
        <w:pStyle w:val="SaBody"/>
      </w:pPr>
      <w:r>
        <w:rPr>
          <w:b w:val="false"/>
          <w:bCs w:val="false"/>
        </w:rPr>
        <w:t xml:space="preserve">Canada is not one jurisdiction. If your work is federally regulated — banking, telecommunications, interprovincial transport, roughly six per cent of the workforce — the federal column below is yours and the provincial ones are not. Otherwise you are under the law of the province you work in, and the four that carry most of the workforce differ from each other.</w:t>
      </w:r>
    </w:p>
    <w:p>
      <w:pPr>
        <w:pStyle w:val="SaBody"/>
      </w:pPr>
      <w:r>
        <w:rPr>
          <w:b/>
          <w:bCs/>
        </w:rPr>
        <w:t xml:space="preserve">Read the table before deleting from it. It is the only part of this form that tells you whether the rest of it is required of you at all.</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1595"/>
        <w:gridCol w:w="4986"/>
        <w:gridCol w:w="3391"/>
      </w:tblGrid>
      <w:tr>
        <w:trPr>
          <w:tblHeader/>
        </w:trPr>
        <w:tc>
          <w:tcPr>
            <w:tcW w:type="dxa" w:w="1595"/>
            <w:shd w:fill="014259" w:color="auto" w:val="clear"/>
            <w:tcMar>
              <w:top w:type="dxa" w:w="60"/>
              <w:left w:type="dxa" w:w="100"/>
              <w:bottom w:type="dxa" w:w="60"/>
              <w:right w:type="dxa" w:w="100"/>
            </w:tcMar>
          </w:tcPr>
          <w:p>
            <w:pPr>
              <w:pStyle w:val="SaCellHeader"/>
            </w:pPr>
            <w:r>
              <w:t xml:space="preserve">Jurisdiction</w:t>
            </w:r>
          </w:p>
        </w:tc>
        <w:tc>
          <w:tcPr>
            <w:tcW w:type="dxa" w:w="4986"/>
            <w:shd w:fill="014259" w:color="auto" w:val="clear"/>
            <w:tcMar>
              <w:top w:type="dxa" w:w="60"/>
              <w:left w:type="dxa" w:w="100"/>
              <w:bottom w:type="dxa" w:w="60"/>
              <w:right w:type="dxa" w:w="100"/>
            </w:tcMar>
          </w:tcPr>
          <w:p>
            <w:pPr>
              <w:pStyle w:val="SaCellHeader"/>
            </w:pPr>
            <w:r>
              <w:t xml:space="preserve">What has to be written down</w:t>
            </w:r>
          </w:p>
        </w:tc>
        <w:tc>
          <w:tcPr>
            <w:tcW w:type="dxa" w:w="3391"/>
            <w:shd w:fill="014259" w:color="auto" w:val="clear"/>
            <w:tcMar>
              <w:top w:type="dxa" w:w="60"/>
              <w:left w:type="dxa" w:w="100"/>
              <w:bottom w:type="dxa" w:w="60"/>
              <w:right w:type="dxa" w:w="100"/>
            </w:tcMar>
          </w:tcPr>
          <w:p>
            <w:pPr>
              <w:pStyle w:val="SaCellHeader"/>
            </w:pPr>
            <w:r>
              <w:t xml:space="preserve">Where it says so</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Federal</w:t>
            </w:r>
          </w:p>
        </w:tc>
        <w:tc>
          <w:tcPr>
            <w:tcW w:type="dxa" w:w="498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 hazard prevention program with six components, developed with the policy or work place committee. The methodology must provide for keeping a record of the hazards.</w:t>
            </w:r>
          </w:p>
        </w:tc>
        <w:tc>
          <w:tcPr>
            <w:tcW w:type="dxa" w:w="3391"/>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COHSR Part XIX, ss. 19.1 and 19.3(2)(b)</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Alberta</w:t>
            </w:r>
          </w:p>
        </w:tc>
        <w:tc>
          <w:tcPr>
            <w:tcW w:type="dxa" w:w="498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 dated report of the hazard assessment results and of the methods used to control or eliminate the hazards. Repeated at reasonably practicable intervals and on three other triggers.</w:t>
            </w:r>
          </w:p>
        </w:tc>
        <w:tc>
          <w:tcPr>
            <w:tcW w:type="dxa" w:w="3391"/>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OHS Code, ss. 7(2) to 7(4)</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Ontario</w:t>
            </w:r>
          </w:p>
        </w:tc>
        <w:tc>
          <w:tcPr>
            <w:tcW w:type="dxa" w:w="498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 written health and safety policy, reviewed at least annually, plus a program to implement it — above five workers. No general duty to write the hazard assessment itself.</w:t>
            </w:r>
          </w:p>
        </w:tc>
        <w:tc>
          <w:tcPr>
            <w:tcW w:type="dxa" w:w="3391"/>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OHSA, ss. 25(2)(j) and 25(4)</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British Columbia</w:t>
            </w:r>
          </w:p>
        </w:tc>
        <w:tc>
          <w:tcPr>
            <w:tcW w:type="dxa" w:w="498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 formal occupational health and safety program: 20 or more workers with a moderate- or high-risk workplace, or 50 or more workers. Below that, a less formal program built on monthly meetings, with records of what was discussed.</w:t>
            </w:r>
          </w:p>
        </w:tc>
        <w:tc>
          <w:tcPr>
            <w:tcW w:type="dxa" w:w="3391"/>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OHS Regulation, ss. 3.1 to 3.3</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Québec</w:t>
            </w:r>
          </w:p>
        </w:tc>
        <w:tc>
          <w:tcPr>
            <w:tcW w:type="dxa" w:w="498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Un programme de prévention (établissements de 20 travailleurs ou plus) ou un plan d'action (19 ou moins), mis à jour annuellement.</w:t>
            </w:r>
          </w:p>
        </w:tc>
        <w:tc>
          <w:tcPr>
            <w:tcW w:type="dxa" w:w="3391"/>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Règlement sur les mécanismes de prévention et de participation en établissement, en vigueur le 1er octobre 2025</w:t>
            </w:r>
          </w:p>
        </w:tc>
      </w:tr>
    </w:tbl>
    <w:p>
      <w:pPr>
        <w:pStyle w:val="SaNote"/>
      </w:pPr>
      <w:r>
        <w:t xml:space="preserve">Nothing in this table is a full statement of the duty, and none of it covers the hazard-specific assessments that sit on top of it — confined space entry, hazardous substances, workplace violence, fall protection, working alone. Those have their own requirements and their own forms.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Jurisdiction this record is written for</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Federally regulated work?</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[yes / no]</w:t>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The instrument this record forms part of</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[hazard prevention program · OHS program · programme de prévention · plan d'action · standalone hazard assessment]</w:t>
            </w:r>
          </w:p>
        </w:tc>
      </w:tr>
    </w:tbl>
    <w:p>
      <w:pPr>
        <w:pStyle w:val="SaChrome"/>
      </w:pPr>
    </w:p>
    <w:p>
      <w:pPr>
        <w:pStyle w:val="SaH1"/>
      </w:pPr>
      <w:r>
        <w:t xml:space="preserve">2. Site and scope of this record</w:t>
      </w:r>
    </w:p>
    <w:p>
      <w:pPr>
        <w:pStyle w:val="SaBasis"/>
      </w:pPr>
      <w:r>
        <w:t xml:space="preserve">— industry practice, nothing requires it</w:t>
      </w:r>
    </w:p>
    <w:p>
      <w:pPr>
        <w:pStyle w:val="SaBody"/>
      </w:pPr>
      <w:r>
        <w:rPr>
          <w:b w:val="false"/>
          <w:bCs w:val="false"/>
        </w:rPr>
        <w:t xml:space="preserve">No text requires this block. It is here because Alberta requires the date of the assessment to be recorded on it, because a record is read later by people who were not there, and because a form covering “all our sites” is a form nobody can act on.</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Legal name of the employer</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Work site or operation covered</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Address</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Number of workers</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[decides thresholds]</w:t>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Prepared by</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prepared or revised</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[required in Alberta]</w:t>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Committee or representative consulted</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[policy or work place committee · JHSC · health and safety representative · comité de santé et de sécurité · agent de liaison en SST]</w:t>
            </w:r>
          </w:p>
        </w:tc>
      </w:tr>
    </w:tbl>
    <w:p>
      <w:pPr>
        <w:pStyle w:val="SaChrome"/>
      </w:pPr>
    </w:p>
    <w:p>
      <w:pPr>
        <w:pStyle w:val="SaH1"/>
      </w:pPr>
      <w:r>
        <w:t xml:space="preserve">3. How hazards are identified and assessed</w:t>
      </w:r>
    </w:p>
    <w:p>
      <w:pPr>
        <w:pStyle w:val="SaBasis"/>
      </w:pPr>
      <w:r>
        <w:t xml:space="preserve">— required by law</w:t>
      </w:r>
    </w:p>
    <w:p>
      <w:pPr>
        <w:pStyle w:val="SaBody"/>
      </w:pPr>
      <w:r>
        <w:rPr>
          <w:b w:val="false"/>
          <w:bCs w:val="false"/>
        </w:rPr>
        <w:t xml:space="preserve">Federally this section is itself a requirement: COHSR 19.3(2) says the methodology must set out the steps and time frame for identifying and assessing hazards, provide for the keeping of a record of the hazards, and set a time frame for reviewing the methodology. In Alberta, the report has to state the methods used to control or eliminate what was found. Nowhere is a scoring scale imposed, so write yours down — an unexplained number is not reviewable by anyone who was not in the room.</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991"/>
        <w:gridCol w:w="6981"/>
      </w:tblGrid>
      <w:tr>
        <w:tc>
          <w:tcPr>
            <w:tcW w:type="dxa" w:w="29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Steps followed</w:t>
            </w:r>
          </w:p>
        </w:tc>
        <w:tc>
          <w:tcPr>
            <w:tcW w:type="dxa" w:w="69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[walk-through, task analysis, worker interviews, records review]</w:t>
            </w:r>
          </w:p>
        </w:tc>
      </w:tr>
      <w:tr>
        <w:tc>
          <w:tcPr>
            <w:tcW w:type="dxa" w:w="29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Sources consulted</w:t>
            </w:r>
          </w:p>
        </w:tc>
        <w:tc>
          <w:tcPr>
            <w:tcW w:type="dxa" w:w="69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[hazardous occurrence reports, first aid records, inspection results, worker reports, safety data sheets, manufacturers' instructions]</w:t>
            </w:r>
          </w:p>
        </w:tc>
      </w:tr>
      <w:tr>
        <w:tc>
          <w:tcPr>
            <w:tcW w:type="dxa" w:w="29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Severity scale used</w:t>
            </w:r>
          </w:p>
        </w:tc>
        <w:tc>
          <w:tcPr>
            <w:tcW w:type="dxa" w:w="69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[write it out in words]</w:t>
            </w:r>
          </w:p>
        </w:tc>
      </w:tr>
      <w:tr>
        <w:tc>
          <w:tcPr>
            <w:tcW w:type="dxa" w:w="29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Likelihood scale used</w:t>
            </w:r>
          </w:p>
        </w:tc>
        <w:tc>
          <w:tcPr>
            <w:tcW w:type="dxa" w:w="69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[write it out in words]</w:t>
            </w:r>
          </w:p>
        </w:tc>
      </w:tr>
      <w:tr>
        <w:tc>
          <w:tcPr>
            <w:tcW w:type="dxa" w:w="29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Level at which action becomes mandatory</w:t>
            </w:r>
          </w:p>
        </w:tc>
        <w:tc>
          <w:tcPr>
            <w:tcW w:type="dxa" w:w="69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[and within what time]</w:t>
            </w:r>
          </w:p>
        </w:tc>
      </w:tr>
      <w:tr>
        <w:tc>
          <w:tcPr>
            <w:tcW w:type="dxa" w:w="29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Time frame for reviewing this methodology</w:t>
            </w:r>
          </w:p>
        </w:tc>
        <w:tc>
          <w:tcPr>
            <w:tcW w:type="dxa" w:w="69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[required federally by COHSR 19.3(2)(c)]</w:t>
            </w:r>
          </w:p>
        </w:tc>
      </w:tr>
    </w:tbl>
    <w:p>
      <w:pPr>
        <w:pStyle w:val="SaChrome"/>
      </w:pPr>
    </w:p>
    <w:p>
      <w:pPr>
        <w:pStyle w:val="SaH1"/>
      </w:pPr>
      <w:r>
        <w:t xml:space="preserve">4. Work areas and activities covered</w:t>
      </w:r>
    </w:p>
    <w:p>
      <w:pPr>
        <w:pStyle w:val="SaBasis"/>
      </w:pPr>
      <w:r>
        <w:t xml:space="preserve">— industry practice, nothing requires it</w:t>
      </w:r>
    </w:p>
    <w:p>
      <w:pPr>
        <w:pStyle w:val="SaBody"/>
      </w:pPr>
      <w:r>
        <w:rPr>
          <w:b w:val="false"/>
          <w:bCs w:val="false"/>
        </w:rPr>
        <w:t xml:space="preserve">Alberta assesses a work site, the federal regulation assesses the work place, and neither defines the unit you break it into. Group people who face the same hazards under the same conditions, and say so — the grouping is a judgement call you should be able to explain rather than one you should hide.</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393"/>
        <w:gridCol w:w="2991"/>
        <w:gridCol w:w="997"/>
        <w:gridCol w:w="1794"/>
        <w:gridCol w:w="1797"/>
      </w:tblGrid>
      <w:tr>
        <w:trPr>
          <w:tblHeader/>
        </w:trPr>
        <w:tc>
          <w:tcPr>
            <w:tcW w:type="dxa" w:w="2393"/>
            <w:shd w:fill="014259" w:color="auto" w:val="clear"/>
            <w:tcMar>
              <w:top w:type="dxa" w:w="60"/>
              <w:left w:type="dxa" w:w="100"/>
              <w:bottom w:type="dxa" w:w="60"/>
              <w:right w:type="dxa" w:w="100"/>
            </w:tcMar>
          </w:tcPr>
          <w:p>
            <w:pPr>
              <w:pStyle w:val="SaCellHeader"/>
            </w:pPr>
            <w:r>
              <w:t xml:space="preserve">Area or activity</w:t>
            </w:r>
          </w:p>
        </w:tc>
        <w:tc>
          <w:tcPr>
            <w:tcW w:type="dxa" w:w="2991"/>
            <w:shd w:fill="014259" w:color="auto" w:val="clear"/>
            <w:tcMar>
              <w:top w:type="dxa" w:w="60"/>
              <w:left w:type="dxa" w:w="100"/>
              <w:bottom w:type="dxa" w:w="60"/>
              <w:right w:type="dxa" w:w="100"/>
            </w:tcMar>
          </w:tcPr>
          <w:p>
            <w:pPr>
              <w:pStyle w:val="SaCellHeader"/>
            </w:pPr>
            <w:r>
              <w:t xml:space="preserve">Tasks and positions covered</w:t>
            </w:r>
          </w:p>
        </w:tc>
        <w:tc>
          <w:tcPr>
            <w:tcW w:type="dxa" w:w="997"/>
            <w:shd w:fill="014259" w:color="auto" w:val="clear"/>
            <w:tcMar>
              <w:top w:type="dxa" w:w="60"/>
              <w:left w:type="dxa" w:w="100"/>
              <w:bottom w:type="dxa" w:w="60"/>
              <w:right w:type="dxa" w:w="100"/>
            </w:tcMar>
          </w:tcPr>
          <w:p>
            <w:pPr>
              <w:pStyle w:val="SaCellHeader"/>
            </w:pPr>
            <w:r>
              <w:t xml:space="preserve">Workers</w:t>
            </w:r>
          </w:p>
        </w:tc>
        <w:tc>
          <w:tcPr>
            <w:tcW w:type="dxa" w:w="1794"/>
            <w:shd w:fill="014259" w:color="auto" w:val="clear"/>
            <w:tcMar>
              <w:top w:type="dxa" w:w="60"/>
              <w:left w:type="dxa" w:w="100"/>
              <w:bottom w:type="dxa" w:w="60"/>
              <w:right w:type="dxa" w:w="100"/>
            </w:tcMar>
          </w:tcPr>
          <w:p>
            <w:pPr>
              <w:pStyle w:val="SaCellHeader"/>
            </w:pPr>
            <w:r>
              <w:t xml:space="preserve">Supervisor</w:t>
            </w:r>
          </w:p>
        </w:tc>
        <w:tc>
          <w:tcPr>
            <w:tcW w:type="dxa" w:w="1797"/>
            <w:shd w:fill="014259" w:color="auto" w:val="clear"/>
            <w:tcMar>
              <w:top w:type="dxa" w:w="60"/>
              <w:left w:type="dxa" w:w="100"/>
              <w:bottom w:type="dxa" w:w="60"/>
              <w:right w:type="dxa" w:w="100"/>
            </w:tcMar>
          </w:tcPr>
          <w:p>
            <w:pPr>
              <w:pStyle w:val="SaCellHeader"/>
            </w:pPr>
            <w:r>
              <w:t xml:space="preserve">Date walked</w:t>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r>
        <w:br w:type="page"/>
      </w:r>
    </w:p>
    <w:p>
      <w:pPr>
        <w:pStyle w:val="SaH1"/>
      </w:pPr>
      <w:r>
        <w:t xml:space="preserve">5. Hazards identified, assessed and controlled</w:t>
      </w:r>
    </w:p>
    <w:p>
      <w:pPr>
        <w:pStyle w:val="SaBasis"/>
      </w:pPr>
      <w:r>
        <w:t xml:space="preserve">— required by law</w:t>
      </w:r>
    </w:p>
    <w:p>
      <w:pPr>
        <w:pStyle w:val="SaBody"/>
      </w:pPr>
      <w:r>
        <w:rPr>
          <w:b w:val="false"/>
          <w:bCs w:val="false"/>
        </w:rPr>
        <w:t xml:space="preserve">One page per area or activity listed in section 4: duplicate this one as many times as needed. The last two columns are the ones that matter at an inspection — a hazard recorded with no control recorded against it is the finding, not the record.</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Area or activity</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of assessment</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Workers involved in the assessment</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Number of workers exposed</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
        <w:gridCol w:w="2094"/>
        <w:gridCol w:w="1794"/>
        <w:gridCol w:w="1695"/>
        <w:gridCol w:w="1096"/>
        <w:gridCol w:w="2795"/>
      </w:tblGrid>
      <w:tr>
        <w:trPr>
          <w:tblHeader/>
        </w:trPr>
        <w:tc>
          <w:tcPr>
            <w:tcW w:type="dxa" w:w="498"/>
            <w:shd w:fill="014259" w:color="auto" w:val="clear"/>
            <w:tcMar>
              <w:top w:type="dxa" w:w="60"/>
              <w:left w:type="dxa" w:w="100"/>
              <w:bottom w:type="dxa" w:w="60"/>
              <w:right w:type="dxa" w:w="100"/>
            </w:tcMar>
          </w:tcPr>
          <w:p>
            <w:pPr>
              <w:pStyle w:val="SaCellHeader"/>
            </w:pPr>
            <w:r>
              <w:t xml:space="preserve">No.</w:t>
            </w:r>
          </w:p>
        </w:tc>
        <w:tc>
          <w:tcPr>
            <w:tcW w:type="dxa" w:w="2094"/>
            <w:shd w:fill="014259" w:color="auto" w:val="clear"/>
            <w:tcMar>
              <w:top w:type="dxa" w:w="60"/>
              <w:left w:type="dxa" w:w="100"/>
              <w:bottom w:type="dxa" w:w="60"/>
              <w:right w:type="dxa" w:w="100"/>
            </w:tcMar>
          </w:tcPr>
          <w:p>
            <w:pPr>
              <w:pStyle w:val="SaCellHeader"/>
            </w:pPr>
            <w:r>
              <w:t xml:space="preserve">Hazard or hazardous condition</w:t>
            </w:r>
          </w:p>
        </w:tc>
        <w:tc>
          <w:tcPr>
            <w:tcW w:type="dxa" w:w="1794"/>
            <w:shd w:fill="014259" w:color="auto" w:val="clear"/>
            <w:tcMar>
              <w:top w:type="dxa" w:w="60"/>
              <w:left w:type="dxa" w:w="100"/>
              <w:bottom w:type="dxa" w:w="60"/>
              <w:right w:type="dxa" w:w="100"/>
            </w:tcMar>
          </w:tcPr>
          <w:p>
            <w:pPr>
              <w:pStyle w:val="SaCellHeader"/>
            </w:pPr>
            <w:r>
              <w:t xml:space="preserve">Who is exposed, and how</w:t>
            </w:r>
          </w:p>
        </w:tc>
        <w:tc>
          <w:tcPr>
            <w:tcW w:type="dxa" w:w="1695"/>
            <w:shd w:fill="014259" w:color="auto" w:val="clear"/>
            <w:tcMar>
              <w:top w:type="dxa" w:w="60"/>
              <w:left w:type="dxa" w:w="100"/>
              <w:bottom w:type="dxa" w:w="60"/>
              <w:right w:type="dxa" w:w="100"/>
            </w:tcMar>
          </w:tcPr>
          <w:p>
            <w:pPr>
              <w:pStyle w:val="SaCellHeader"/>
            </w:pPr>
            <w:r>
              <w:t xml:space="preserve">Controls already in place</w:t>
            </w:r>
          </w:p>
        </w:tc>
        <w:tc>
          <w:tcPr>
            <w:tcW w:type="dxa" w:w="1096"/>
            <w:shd w:fill="014259" w:color="auto" w:val="clear"/>
            <w:tcMar>
              <w:top w:type="dxa" w:w="60"/>
              <w:left w:type="dxa" w:w="100"/>
              <w:bottom w:type="dxa" w:w="60"/>
              <w:right w:type="dxa" w:w="100"/>
            </w:tcMar>
          </w:tcPr>
          <w:p>
            <w:pPr>
              <w:pStyle w:val="SaCellHeader"/>
            </w:pPr>
            <w:r>
              <w:t xml:space="preserve">Severity / likelihood / level</w:t>
            </w:r>
          </w:p>
        </w:tc>
        <w:tc>
          <w:tcPr>
            <w:tcW w:type="dxa" w:w="2795"/>
            <w:shd w:fill="014259" w:color="auto" w:val="clear"/>
            <w:tcMar>
              <w:top w:type="dxa" w:w="60"/>
              <w:left w:type="dxa" w:w="100"/>
              <w:bottom w:type="dxa" w:w="60"/>
              <w:right w:type="dxa" w:w="100"/>
            </w:tcMar>
          </w:tcPr>
          <w:p>
            <w:pPr>
              <w:pStyle w:val="SaCellHeader"/>
            </w:pPr>
            <w:r>
              <w:t xml:space="preserve">Control decided · owner · date</w:t>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Ergonomics-related hazards are named explicitly in the federal regulation, and psychological health sits inside Quebec's definition of the hazards a programme de prévention addresses. Neither is optional because it is harder to score than a guard on a machine.</w:t>
      </w:r>
    </w:p>
    <w:p>
      <w:pPr>
        <w:pStyle w:val="SaH1"/>
      </w:pPr>
      <w:r>
        <w:t xml:space="preserve">6. The order controls have to follow</w:t>
      </w:r>
    </w:p>
    <w:p>
      <w:pPr>
        <w:pStyle w:val="SaBasis"/>
      </w:pPr>
      <w:r>
        <w:t xml:space="preserve">— required by law</w:t>
      </w:r>
    </w:p>
    <w:p>
      <w:pPr>
        <w:pStyle w:val="SaBody"/>
      </w:pPr>
      <w:r>
        <w:rPr>
          <w:b w:val="false"/>
          <w:bCs w:val="false"/>
        </w:rPr>
        <w:t xml:space="preserve">Alberta sets the order out in law rather than as good practice, and it is the clearest statement of it in the country: eliminate the hazard if that is reasonably practicable; if not, control it through engineering controls; if that is not enough, administrative controls that bring it as low as reasonably achievable; and only then personal protective equipment. A combination is allowed only where nothing better is available.</w:t>
      </w:r>
    </w:p>
    <w:p>
      <w:pPr>
        <w:pStyle w:val="SaBody"/>
      </w:pPr>
      <w:r>
        <w:rPr>
          <w:b/>
          <w:bCs/>
        </w:rPr>
        <w:t xml:space="preserve">Reaching for PPE first is the single most common finding in this section, and it is visible on a form: it shows up as an empty engineering column.</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00"/>
        <w:gridCol w:w="9572"/>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Elimination was considered for every hazard rated above the action level, and the reason it was rejected is recorded.</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Engineering controls were considered before administrative ones.</w:t>
            </w:r>
          </w:p>
          <w:p>
            <w:pPr>
              <w:pStyle w:val="SaHint"/>
            </w:pPr>
            <w:r>
              <w:t xml:space="preserve">Guarding, ventilation, isolation, redesign, mechanical handling.</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Administrative controls are written down as procedures, not held as habits.</w:t>
            </w:r>
          </w:p>
          <w:p>
            <w:pPr>
              <w:pStyle w:val="SaHint"/>
            </w:pPr>
            <w:r>
              <w:t xml:space="preserve">Safe work procedures, rotation, exposure time limits, permits.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PPE is recorded as a last-resort control, with the training and fit-testing it needs.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Every control has an owner and a date.</w:t>
            </w:r>
          </w:p>
        </w:tc>
      </w:tr>
    </w:tbl>
    <w:p>
      <w:pPr>
        <w:pStyle w:val="SaChrome"/>
      </w:pPr>
    </w:p>
    <w:p>
      <w:pPr>
        <w:pStyle w:val="SaH1"/>
      </w:pPr>
      <w:r>
        <w:t xml:space="preserve">7. Worker and committee participation</w:t>
      </w:r>
    </w:p>
    <w:p>
      <w:pPr>
        <w:pStyle w:val="SaBasis"/>
      </w:pPr>
      <w:r>
        <w:t xml:space="preserve">— required by law</w:t>
      </w:r>
    </w:p>
    <w:p>
      <w:pPr>
        <w:pStyle w:val="SaBody"/>
      </w:pPr>
      <w:r>
        <w:rPr>
          <w:b w:val="false"/>
          <w:bCs w:val="false"/>
        </w:rPr>
        <w:t xml:space="preserve">This is not a courtesy section. Alberta requires affected workers to be involved in the assessment and in controlling what it finds; the federal program is developed in consultation with and with the participation of the committee or the health and safety representative; Ontario requires the results of any health and safety report in the employer's possession to be given to the committee, with a copy of the written parts; and in Quebec the programme de prévention and every update go to the comité de santé et de sécurité where one exists.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00"/>
        <w:gridCol w:w="9572"/>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Affected workers were involved in the assessment and in the control of what it found.</w:t>
            </w:r>
          </w:p>
          <w:p>
            <w:pPr>
              <w:pStyle w:val="SaHint"/>
            </w:pPr>
            <w:r>
              <w:t xml:space="preserve">Alberta OHS Code, s. 8(1).</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Developed in consultation with and with the participation of the committee or the health and safety representative.</w:t>
            </w:r>
          </w:p>
          <w:p>
            <w:pPr>
              <w:pStyle w:val="SaHint"/>
            </w:pPr>
            <w:r>
              <w:t xml:space="preserve">COHSR 19.1, for federally regulated work.</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Results given to the committee or the health and safety representative, with a copy of the written parts.</w:t>
            </w:r>
          </w:p>
          <w:p>
            <w:pPr>
              <w:pStyle w:val="SaHint"/>
            </w:pPr>
            <w:r>
              <w:t xml:space="preserve">OHSA, s. 25(2)(l) and (m) — and workers advised of the results.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Programme de prévention ou plan d'action transmis au comité de santé et de sécurité, s'il y en a un.</w:t>
            </w:r>
          </w:p>
          <w:p>
            <w:pPr>
              <w:pStyle w:val="SaHint"/>
            </w:pPr>
            <w:r>
              <w:t xml:space="preserve">Québec. Les recommandations écrites de l'agent de liaison en SST appellent une réponse de l'employeur dans les 30 jours.</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Names of the workers and committee members who took part are recorded above.</w:t>
            </w:r>
          </w:p>
        </w:tc>
      </w:tr>
    </w:tbl>
    <w:p>
      <w:pPr>
        <w:pStyle w:val="SaChrome"/>
      </w:pPr>
    </w:p>
    <w:p>
      <w:pPr>
        <w:pStyle w:val="SaH1"/>
      </w:pPr>
      <w:r>
        <w:t xml:space="preserve">8. When this record has to be redone</w:t>
      </w:r>
    </w:p>
    <w:p>
      <w:pPr>
        <w:pStyle w:val="SaBasis"/>
      </w:pPr>
      <w:r>
        <w:t xml:space="preserve">— required by law</w:t>
      </w:r>
    </w:p>
    <w:p>
      <w:pPr>
        <w:pStyle w:val="SaBody"/>
      </w:pPr>
      <w:r>
        <w:rPr>
          <w:b w:val="false"/>
          <w:bCs w:val="false"/>
        </w:rPr>
        <w:t xml:space="preserve">Alberta names four triggers and they are the most useful list in the country, whichever jurisdiction you are in: at reasonably practicable intervals to prevent unsafe or unhealthy conditions developing; when a new work process is introduced; when a work process or operation changes; and before significant additions or alterations to a work site are built. Ontario adds an annual review of the written policy, Quebec an annual update of the programme or the plan d'action, and the federal regulation a review of the methodology on the time frame you set in section 3.</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897"/>
        <w:gridCol w:w="1096"/>
        <w:gridCol w:w="3390"/>
        <w:gridCol w:w="1794"/>
        <w:gridCol w:w="1296"/>
        <w:gridCol w:w="1499"/>
      </w:tblGrid>
      <w:tr>
        <w:trPr>
          <w:tblHeader/>
        </w:trPr>
        <w:tc>
          <w:tcPr>
            <w:tcW w:type="dxa" w:w="897"/>
            <w:shd w:fill="014259" w:color="auto" w:val="clear"/>
            <w:tcMar>
              <w:top w:type="dxa" w:w="60"/>
              <w:left w:type="dxa" w:w="100"/>
              <w:bottom w:type="dxa" w:w="60"/>
              <w:right w:type="dxa" w:w="100"/>
            </w:tcMar>
          </w:tcPr>
          <w:p>
            <w:pPr>
              <w:pStyle w:val="SaCellHeader"/>
            </w:pPr>
            <w:r>
              <w:t xml:space="preserve">Version</w:t>
            </w:r>
          </w:p>
        </w:tc>
        <w:tc>
          <w:tcPr>
            <w:tcW w:type="dxa" w:w="1096"/>
            <w:shd w:fill="014259" w:color="auto" w:val="clear"/>
            <w:tcMar>
              <w:top w:type="dxa" w:w="60"/>
              <w:left w:type="dxa" w:w="100"/>
              <w:bottom w:type="dxa" w:w="60"/>
              <w:right w:type="dxa" w:w="100"/>
            </w:tcMar>
          </w:tcPr>
          <w:p>
            <w:pPr>
              <w:pStyle w:val="SaCellHeader"/>
            </w:pPr>
            <w:r>
              <w:t xml:space="preserve">Date</w:t>
            </w:r>
          </w:p>
        </w:tc>
        <w:tc>
          <w:tcPr>
            <w:tcW w:type="dxa" w:w="3390"/>
            <w:shd w:fill="014259" w:color="auto" w:val="clear"/>
            <w:tcMar>
              <w:top w:type="dxa" w:w="60"/>
              <w:left w:type="dxa" w:w="100"/>
              <w:bottom w:type="dxa" w:w="60"/>
              <w:right w:type="dxa" w:w="100"/>
            </w:tcMar>
          </w:tcPr>
          <w:p>
            <w:pPr>
              <w:pStyle w:val="SaCellHeader"/>
            </w:pPr>
            <w:r>
              <w:t xml:space="preserve">Trigger: interval · new process · process change · site alteration · annual review</w:t>
            </w:r>
          </w:p>
        </w:tc>
        <w:tc>
          <w:tcPr>
            <w:tcW w:type="dxa" w:w="1794"/>
            <w:shd w:fill="014259" w:color="auto" w:val="clear"/>
            <w:tcMar>
              <w:top w:type="dxa" w:w="60"/>
              <w:left w:type="dxa" w:w="100"/>
              <w:bottom w:type="dxa" w:w="60"/>
              <w:right w:type="dxa" w:w="100"/>
            </w:tcMar>
          </w:tcPr>
          <w:p>
            <w:pPr>
              <w:pStyle w:val="SaCellHeader"/>
            </w:pPr>
            <w:r>
              <w:t xml:space="preserve">Areas affected</w:t>
            </w:r>
          </w:p>
        </w:tc>
        <w:tc>
          <w:tcPr>
            <w:tcW w:type="dxa" w:w="1296"/>
            <w:shd w:fill="014259" w:color="auto" w:val="clear"/>
            <w:tcMar>
              <w:top w:type="dxa" w:w="60"/>
              <w:left w:type="dxa" w:w="100"/>
              <w:bottom w:type="dxa" w:w="60"/>
              <w:right w:type="dxa" w:w="100"/>
            </w:tcMar>
          </w:tcPr>
          <w:p>
            <w:pPr>
              <w:pStyle w:val="SaCellHeader"/>
            </w:pPr>
            <w:r>
              <w:t xml:space="preserve">Shared with committee on</w:t>
            </w:r>
          </w:p>
        </w:tc>
        <w:tc>
          <w:tcPr>
            <w:tcW w:type="dxa" w:w="1499"/>
            <w:shd w:fill="014259" w:color="auto" w:val="clear"/>
            <w:tcMar>
              <w:top w:type="dxa" w:w="60"/>
              <w:left w:type="dxa" w:w="100"/>
              <w:bottom w:type="dxa" w:w="60"/>
              <w:right w:type="dxa" w:w="100"/>
            </w:tcMar>
          </w:tcPr>
          <w:p>
            <w:pPr>
              <w:pStyle w:val="SaCellHeader"/>
            </w:pPr>
            <w:r>
              <w:t xml:space="preserve">Prepared by</w:t>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A single line dated three years ago says more to an inspector than sixty pages of hazards. This is also the table that answers the due-diligence question — what did you know, when, and what did you do about it.</w:t>
      </w:r>
    </w:p>
    <w:p>
      <w:pPr>
        <w:pStyle w:val="SaH1"/>
      </w:pPr>
      <w:r>
        <w:t xml:space="preserve">9. Records kept, and for how long</w:t>
      </w:r>
    </w:p>
    <w:p>
      <w:pPr>
        <w:pStyle w:val="SaBasis"/>
      </w:pPr>
      <w:r>
        <w:t xml:space="preserve">— required by law</w:t>
      </w:r>
    </w:p>
    <w:p>
      <w:pPr>
        <w:pStyle w:val="SaBody"/>
      </w:pPr>
      <w:r>
        <w:rPr>
          <w:b w:val="false"/>
          <w:bCs w:val="false"/>
        </w:rPr>
        <w:t xml:space="preserve">Retention is where the jurisdictions diverge most quietly. Federally, program evaluation reports are kept readily available for six years after the date of the report. In Quebec, every three years from the date the programme de prévention was put in place, the employer transmits its priority actions, the progress of planned measures and the follow-up of measures already in place to the CNESST. Alberta requires the date on the assessment, which is what makes a superseded version datable at all.</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Where superseded versions are kept</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Retention period applied</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Next transmission to the regulator, if any</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[Québec: tous les 3 ans à compter de la mise en application]</w:t>
            </w:r>
          </w:p>
        </w:tc>
      </w:tr>
    </w:tbl>
    <w:p>
      <w:pPr>
        <w:pStyle w:val="SaChrome"/>
      </w:pPr>
    </w:p>
    <w:p>
      <w:pPr>
        <w:pStyle w:val="SaH1"/>
      </w:pPr>
      <w:r>
        <w:t xml:space="preserve">10. Sign-off</w:t>
      </w:r>
    </w:p>
    <w:p>
      <w:pPr>
        <w:pStyle w:val="SaBasis"/>
      </w:pPr>
      <w:r>
        <w:t xml:space="preserve">— industry practice, nothing requires it</w:t>
      </w:r>
    </w:p>
    <w:p>
      <w:pPr>
        <w:pStyle w:val="SaBody"/>
      </w:pPr>
      <w:r>
        <w:rPr>
          <w:b w:val="false"/>
          <w:bCs w:val="false"/>
        </w:rPr>
        <w:t xml:space="preserve">No text requires a signature on a hazard assessment. It is here because due diligence is a question about what the employer decided and when, and an unsigned file on a shared drive answers it badly.</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3324"/>
        <w:gridCol w:w="3324"/>
        <w:gridCol w:w="3324"/>
      </w:tblGrid>
      <w:tr>
        <w:tc>
          <w:tcPr>
            <w:tcW w:type="dxa" w:w="332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Employer or authorized representative</w:t>
            </w:r>
          </w:p>
          <w:p>
            <w:pPr>
              <w:pStyle w:val="SaHint"/>
            </w:pPr>
            <w:r>
              <w:t xml:space="preserve">Name, title, date</w:t>
            </w:r>
          </w:p>
        </w:tc>
        <w:tc>
          <w:tcPr>
            <w:tcW w:type="dxa" w:w="332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Person who carried out the assessment</w:t>
            </w:r>
          </w:p>
          <w:p>
            <w:pPr>
              <w:pStyle w:val="SaHint"/>
            </w:pPr>
            <w:r>
              <w:t xml:space="preserve">Name, title, date</w:t>
            </w:r>
          </w:p>
        </w:tc>
        <w:tc>
          <w:tcPr>
            <w:tcW w:type="dxa" w:w="332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For the committee or health and safety representative</w:t>
            </w:r>
          </w:p>
          <w:p>
            <w:pPr>
              <w:pStyle w:val="SaHint"/>
            </w:pPr>
            <w:r>
              <w:t xml:space="preserve">Optional — nothing requires it</w:t>
            </w:r>
          </w:p>
        </w:tc>
      </w:tr>
      <w:tr>
        <w:trPr>
          <w:trHeight w:val="1100" w:hRule="atLeast"/>
        </w:trPr>
        <w:tc>
          <w:tcPr>
            <w:tcW w:type="dxa" w:w="332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2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2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COHSR, s. 19.1 — hazard prevention program — </w:t>
      </w:r>
      <w:hyperlink w:history="1" r:id="rIdugchjpcpjjb64ofrx4i-0">
        <w:r>
          <w:rPr>
            <w:color w:val="005674"/>
            <w:u w:val="single"/>
          </w:rPr>
          <w:t xml:space="preserve">https://laws-lois.justice.gc.ca/eng/regulations/SOR-86-304/section-19.1.html</w:t>
        </w:r>
      </w:hyperlink>
    </w:p>
    <w:p>
      <w:pPr>
        <w:pStyle w:val="ListParagraph"/>
        <w:pStyle w:val="SaNote"/>
        <w:numPr>
          <w:ilvl w:val="0"/>
          <w:numId w:val="1"/>
        </w:numPr>
      </w:pPr>
      <w:r>
        <w:t xml:space="preserve">COHSR, s. 19.3 — hazard identification and assessment methodology — </w:t>
      </w:r>
      <w:hyperlink w:history="1" r:id="rIdqekna5ayf5xr8h89_usdt">
        <w:r>
          <w:rPr>
            <w:color w:val="005674"/>
            <w:u w:val="single"/>
          </w:rPr>
          <w:t xml:space="preserve">https://laws-lois.justice.gc.ca/eng/regulations/SOR-86-304/section-19.3.html</w:t>
        </w:r>
      </w:hyperlink>
    </w:p>
    <w:p>
      <w:pPr>
        <w:pStyle w:val="ListParagraph"/>
        <w:pStyle w:val="SaNote"/>
        <w:numPr>
          <w:ilvl w:val="0"/>
          <w:numId w:val="1"/>
        </w:numPr>
      </w:pPr>
      <w:r>
        <w:t xml:space="preserve">Alberta OHS Code, Part 2 — hazard assessment, elimination and control — </w:t>
      </w:r>
      <w:hyperlink w:history="1" r:id="rIdz97ta7ypds1d5okqjne6s">
        <w:r>
          <w:rPr>
            <w:color w:val="005674"/>
            <w:u w:val="single"/>
          </w:rPr>
          <w:t xml:space="preserve">https://search-ohs-laws.alberta.ca/legislation/occupational-health-and-safety-code/part-2-hazard-assessment-elimination-and-control/</w:t>
        </w:r>
      </w:hyperlink>
    </w:p>
    <w:p>
      <w:pPr>
        <w:pStyle w:val="ListParagraph"/>
        <w:pStyle w:val="SaNote"/>
        <w:numPr>
          <w:ilvl w:val="0"/>
          <w:numId w:val="1"/>
        </w:numPr>
      </w:pPr>
      <w:r>
        <w:t xml:space="preserve">Ontario OHSA, ss. 25 and 32.0.3 — </w:t>
      </w:r>
      <w:hyperlink w:history="1" r:id="rId9kpsmrejx1itpzej-dsrv">
        <w:r>
          <w:rPr>
            <w:color w:val="005674"/>
            <w:u w:val="single"/>
          </w:rPr>
          <w:t xml:space="preserve">https://www.ontario.ca/laws/statute/90o01</w:t>
        </w:r>
      </w:hyperlink>
    </w:p>
    <w:p>
      <w:pPr>
        <w:pStyle w:val="ListParagraph"/>
        <w:pStyle w:val="SaNote"/>
        <w:numPr>
          <w:ilvl w:val="0"/>
          <w:numId w:val="1"/>
        </w:numPr>
      </w:pPr>
      <w:r>
        <w:t xml:space="preserve">BC OHS Regulation, Part 3 — ss. 3.1 to 3.3 — </w:t>
      </w:r>
      <w:hyperlink w:history="1" r:id="rIdfugpn89lfm3l43itygang">
        <w:r>
          <w:rPr>
            <w:color w:val="005674"/>
            <w:u w:val="single"/>
          </w:rPr>
          <w:t xml:space="preserve">https://www.worksafebc.com/en/law-policy/occupational-health-safety/searchable-ohs-regulation/ohs-regulation/part-03-rights-and-responsibilities</w:t>
        </w:r>
      </w:hyperlink>
    </w:p>
    <w:p>
      <w:pPr>
        <w:pStyle w:val="ListParagraph"/>
        <w:pStyle w:val="SaNote"/>
        <w:numPr>
          <w:ilvl w:val="0"/>
          <w:numId w:val="1"/>
        </w:numPr>
      </w:pPr>
      <w:r>
        <w:t xml:space="preserve">CNESST — programme de prévention pour un établissement — </w:t>
      </w:r>
      <w:hyperlink w:history="1" r:id="rIdkbznqo8wbkemdelxmy8lw">
        <w:r>
          <w:rPr>
            <w:color w:val="005674"/>
            <w:u w:val="single"/>
          </w:rPr>
          <w:t xml:space="preserve">https://www.cnesst.gouv.qc.ca/fr/prevention-securite/organiser-prevention/mesures-specifiques-etablissements/appliquer-mecanismes-prevention-participation/mecanismes-prevention/faire-programme-prevention/programme-prevention-etablissement</w:t>
        </w:r>
      </w:hyperlink>
    </w:p>
    <w:p>
      <w:pPr>
        <w:pStyle w:val="SaNote"/>
      </w:pPr>
      <w:r>
        <w:rPr>
          <w:b w:val="false"/>
          <w:bCs w:val="false"/>
        </w:rPr>
        <w:t xml:space="preserve">Content last reviewed 2026-09-08 · This template's page — https://safeally.net/en-ca/templates/hazard-assessment-template/</w:t>
      </w:r>
    </w:p>
    <w:p>
      <w:pPr>
        <w:pStyle w:val="SaNote"/>
      </w:pPr>
      <w:r>
        <w:rPr>
          <w:b w:val="false"/>
          <w:bCs w:val="false"/>
        </w:rPr>
        <w:t xml:space="preserve">SafeAlly — safeally.net · free, no account, editable document</w:t>
      </w:r>
    </w:p>
    <w:sectPr>
      <w:headerReference w:type="default" r:id="rId7"/>
      <w:footerReference w:type="default" r:id="rId8"/>
      <w:pgSz w:w="12240" w:h="15840"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972"/>
      </w:tabs>
    </w:pPr>
    <w:r>
      <w:t xml:space="preserve">Content last reviewed 2026-09-08 · safeally.net</w:t>
    </w:r>
    <w:r>
      <w:t xml:space="preserve">	</w:t>
      <w:t xml:space="preserve">Page </w:t>
      <w:fldChar w:fldCharType="begin"/>
      <w:instrText xml:space="preserve">PAGE</w:instrText>
      <w:fldChar w:fldCharType="separate"/>
      <w:fldChar w:fldCharType="end"/>
    </w:r>
    <w:r>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Hazard assessment and control — site: …………………………… — version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laws-lois.justice.gc.ca/eng/regulations/SOR-86-304/section-19.1.html" TargetMode="External"/><Relationship Id="rIdqekna5ayf5xr8h89_usdt" Type="http://schemas.openxmlformats.org/officeDocument/2006/relationships/hyperlink" Target="https://laws-lois.justice.gc.ca/eng/regulations/SOR-86-304/section-19.3.html" TargetMode="External"/><Relationship Id="rIdz97ta7ypds1d5okqjne6s" Type="http://schemas.openxmlformats.org/officeDocument/2006/relationships/hyperlink" Target="https://search-ohs-laws.alberta.ca/legislation/occupational-health-and-safety-code/part-2-hazard-assessment-elimination-and-control/" TargetMode="External"/><Relationship Id="rId9kpsmrejx1itpzej-dsrv" Type="http://schemas.openxmlformats.org/officeDocument/2006/relationships/hyperlink" Target="https://www.ontario.ca/laws/statute/90o01" TargetMode="External"/><Relationship Id="rIdfugpn89lfm3l43itygang" Type="http://schemas.openxmlformats.org/officeDocument/2006/relationships/hyperlink" Target="https://www.worksafebc.com/en/law-policy/occupational-health-safety/searchable-ohs-regulation/ohs-regulation/part-03-rights-and-responsibilities" TargetMode="External"/><Relationship Id="rIdkbznqo8wbkemdelxmy8lw" Type="http://schemas.openxmlformats.org/officeDocument/2006/relationships/hyperlink" Target="https://www.cnesst.gouv.qc.ca/fr/prevention-securite/organiser-prevention/mesures-specifiques-etablissements/appliquer-mecanismes-prevention-participation/mecanismes-prevention/faire-programme-prevention/programme-prevention-etablissement"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 assessment and control record — Canada</dc:title>
  <dc:subject>Blank hazard assessment and control record for Canadian workplaces, federal and provincial. SafeAlly, safeally.net.</dc:subject>
  <dc:creator>SafeAlly — safeally.net</dc:creator>
  <dc:description>Blank hazard assessment and control record for Canadian workplaces, federal and provincial.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