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Document unique d'évaluation des risques professionnels</w:t>
      </w:r>
    </w:p>
    <w:p>
      <w:pPr>
        <w:pStyle w:val="SaSubtitle"/>
      </w:pPr>
      <w:r>
        <w:t xml:space="preserve">France — Code du travail, articles L. 4121-3, L. 4121-3-1 et R. 4121-1 à R. 4121-4</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Ce que cette trame n'est pas</w:t>
            </w:r>
          </w:p>
          <w:p>
            <w:pPr>
              <w:pStyle w:val="SaCell"/>
            </w:pPr>
            <w:r>
              <w:t xml:space="preserve">Une trame n'évalue rien. Le Code du travail impose d'abord d'évaluer les risques (L. 4121-3), puis d'en transcrire le résultat dans un document unique (R. 4121-1) : ce fichier ne porte que la seconde moitié. Rempli sans que l'évaluation ait eu lieu sur le terrain, il ne protège de rien — et il devient, devant un contrôle, la trace écrite qu'elle n'a pas eu lieu. Rien ici ne constitue un conseil juridique.</w:t>
            </w:r>
          </w:p>
        </w:tc>
      </w:tr>
    </w:tbl>
    <w:p>
      <w:pPr>
        <w:pStyle w:val="SaChrome"/>
      </w:pPr>
    </w:p>
    <w:p>
      <w:pPr>
        <w:pStyle w:val="SaBody"/>
      </w:pPr>
      <w:r>
        <w:rPr>
          <w:b w:val="false"/>
          <w:bCs w:val="false"/>
        </w:rPr>
        <w:t xml:space="preserve">Les zones grisées sont à remplir. Les mentions entre crochets sont des exemples : remplacez-les. Ce document est modifiable — retirez ce qui ne vous concerne pas, mais lisez d'abord la mention de chaque section ci-dessous.</w:t>
      </w:r>
    </w:p>
    <w:p>
      <w:pPr>
        <w:pStyle w:val="SaH1"/>
      </w:pPr>
      <w:r>
        <w:t xml:space="preserve">1. Établissement et périmètre de ce document</w:t>
      </w:r>
    </w:p>
    <w:p>
      <w:pPr>
        <w:pStyle w:val="SaBasis"/>
      </w:pPr>
      <w:r>
        <w:t xml:space="preserve">— pratique de métier, rien ne l'impose</w:t>
      </w:r>
    </w:p>
    <w:p>
      <w:pPr>
        <w:pStyle w:val="SaBody"/>
      </w:pPr>
      <w:r>
        <w:rPr>
          <w:b w:val="false"/>
          <w:bCs w:val="false"/>
        </w:rPr>
        <w:t xml:space="preserve">Aucun texte n'impose ce cartouche. Il est là parce qu'un DUERP se conserve quarante ans dans ses versions successives (R. 4121-4) et sera lu par des gens qui n'étaient pas là : sans périmètre écrit, personne ne saura dans vingt ans quel établissement et quel effectif cette version décrivait.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Raison sociale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[Nom de l'entreprise]</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SIRET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[14 chiffres]</w:t>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Établissement ou site couvert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Adresse du site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Effectif à la date de rédaction</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[détermine le seuil de 11 et celui de 50]</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Activité principale (code APE)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Service de prévention et de santé au travail</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[le DUERP lui est transmis à chaque mise à jour]</w:t>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Rédacteur de cette version</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Version n° et date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2. Méthode d'évaluation retenue</w:t>
      </w:r>
    </w:p>
    <w:p>
      <w:pPr>
        <w:pStyle w:val="SaBasis"/>
      </w:pPr>
      <w:r>
        <w:t xml:space="preserve">— pratique de métier, rien ne l'impose</w:t>
      </w:r>
    </w:p>
    <w:p>
      <w:pPr>
        <w:pStyle w:val="SaBody"/>
      </w:pPr>
      <w:r>
        <w:rPr>
          <w:b w:val="false"/>
          <w:bCs w:val="false"/>
        </w:rPr>
        <w:t xml:space="preserve">Le Code du travail n'impose aucune méthode de cotation, et l'INRS publie des démarches, pas un barème. Ce qui se contrôle n'est donc pas la valeur obtenue mais la cohérence de la méthode, sa constance d'une version à l'autre, et le fait qu'un niveau élevé débouche sur une action datée avec un responsable.</w:t>
      </w:r>
    </w:p>
    <w:p>
      <w:pPr>
        <w:pStyle w:val="SaBody"/>
      </w:pPr>
      <w:r>
        <w:rPr>
          <w:b/>
          <w:bCs/>
        </w:rPr>
        <w:t xml:space="preserve">Écrivez la vôtre ici, même simple : un score sans échelle écrite est invérifiable par quelqu'un qui n'était pas dans la pièce.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891"/>
        <w:gridCol w:w="6747"/>
      </w:tblGrid>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Échelle de gravité</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[1 = bénin, sans arrêt … 4 = irréversible ou mortel]</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Échelle de probabilité</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[1 = improbable … 4 = quotidien]</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Règle de calcul du niveau</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[par exemple gravité × probabilité, de 1 à 16]</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Seuil déclenchant une action obligatoire</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[au-delà de quel niveau une mesure est-elle exigée, et sous quel délai]</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Personnes associées à l'évaluation</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[opérateurs, encadrement, CSE, SPST]</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Sources utilisées</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[fiches de poste, FDS, registre des AT, plaintes, arrêts de travail, mesures]</w:t>
            </w:r>
          </w:p>
        </w:tc>
      </w:tr>
    </w:tbl>
    <w:p>
      <w:pPr>
        <w:pStyle w:val="SaChrome"/>
      </w:pPr>
    </w:p>
    <w:p>
      <w:pPr>
        <w:pStyle w:val="SaH1"/>
      </w:pPr>
      <w:r>
        <w:t xml:space="preserve">3. Inventaire des unités de travail</w:t>
      </w:r>
    </w:p>
    <w:p>
      <w:pPr>
        <w:pStyle w:val="SaBasis"/>
      </w:pPr>
      <w:r>
        <w:t xml:space="preserve">— imposé par la réglementation</w:t>
      </w:r>
    </w:p>
    <w:p>
      <w:pPr>
        <w:pStyle w:val="SaBody"/>
      </w:pPr>
      <w:r>
        <w:rPr>
          <w:b w:val="false"/>
          <w:bCs w:val="false"/>
        </w:rPr>
        <w:t xml:space="preserve">R. 4121-1 exige un inventaire des risques identifiés dans chaque unité de travail. Le texte n'impose en revanche aucune définition de l'unité de travail : le découpage est le vôtre, et c'est pour cela qu'il s'écrit ici plutôt que de rester implicite.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313"/>
        <w:gridCol w:w="2891"/>
        <w:gridCol w:w="963"/>
        <w:gridCol w:w="1734"/>
        <w:gridCol w:w="1737"/>
      </w:tblGrid>
      <w:tr>
        <w:trPr>
          <w:tblHeader/>
        </w:trPr>
        <w:tc>
          <w:tcPr>
            <w:tcW w:type="dxa" w:w="2313"/>
            <w:shd w:fill="014259" w:color="auto" w:val="clear"/>
            <w:tcMar>
              <w:top w:type="dxa" w:w="60"/>
              <w:left w:type="dxa" w:w="100"/>
              <w:bottom w:type="dxa" w:w="60"/>
              <w:right w:type="dxa" w:w="100"/>
            </w:tcMar>
          </w:tcPr>
          <w:p>
            <w:pPr>
              <w:pStyle w:val="SaCellHeader"/>
            </w:pPr>
            <w:r>
              <w:t xml:space="preserve">Unité de travail</w:t>
            </w:r>
          </w:p>
        </w:tc>
        <w:tc>
          <w:tcPr>
            <w:tcW w:type="dxa" w:w="2891"/>
            <w:shd w:fill="014259" w:color="auto" w:val="clear"/>
            <w:tcMar>
              <w:top w:type="dxa" w:w="60"/>
              <w:left w:type="dxa" w:w="100"/>
              <w:bottom w:type="dxa" w:w="60"/>
              <w:right w:type="dxa" w:w="100"/>
            </w:tcMar>
          </w:tcPr>
          <w:p>
            <w:pPr>
              <w:pStyle w:val="SaCellHeader"/>
            </w:pPr>
            <w:r>
              <w:t xml:space="preserve">Postes et activités couverts</w:t>
            </w:r>
          </w:p>
        </w:tc>
        <w:tc>
          <w:tcPr>
            <w:tcW w:type="dxa" w:w="963"/>
            <w:shd w:fill="014259" w:color="auto" w:val="clear"/>
            <w:tcMar>
              <w:top w:type="dxa" w:w="60"/>
              <w:left w:type="dxa" w:w="100"/>
              <w:bottom w:type="dxa" w:w="60"/>
              <w:right w:type="dxa" w:w="100"/>
            </w:tcMar>
          </w:tcPr>
          <w:p>
            <w:pPr>
              <w:pStyle w:val="SaCellHeader"/>
            </w:pPr>
            <w:r>
              <w:t xml:space="preserve">Effectif</w:t>
            </w:r>
          </w:p>
        </w:tc>
        <w:tc>
          <w:tcPr>
            <w:tcW w:type="dxa" w:w="1734"/>
            <w:shd w:fill="014259" w:color="auto" w:val="clear"/>
            <w:tcMar>
              <w:top w:type="dxa" w:w="60"/>
              <w:left w:type="dxa" w:w="100"/>
              <w:bottom w:type="dxa" w:w="60"/>
              <w:right w:type="dxa" w:w="100"/>
            </w:tcMar>
          </w:tcPr>
          <w:p>
            <w:pPr>
              <w:pStyle w:val="SaCellHeader"/>
            </w:pPr>
            <w:r>
              <w:t xml:space="preserve">Responsable</w:t>
            </w:r>
          </w:p>
        </w:tc>
        <w:tc>
          <w:tcPr>
            <w:tcW w:type="dxa" w:w="1737"/>
            <w:shd w:fill="014259" w:color="auto" w:val="clear"/>
            <w:tcMar>
              <w:top w:type="dxa" w:w="60"/>
              <w:left w:type="dxa" w:w="100"/>
              <w:bottom w:type="dxa" w:w="60"/>
              <w:right w:type="dxa" w:w="100"/>
            </w:tcMar>
          </w:tcPr>
          <w:p>
            <w:pPr>
              <w:pStyle w:val="SaCellHeader"/>
            </w:pPr>
            <w:r>
              <w:t xml:space="preserve">Date de la visite terrain</w:t>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Le découpage est l'endroit où un DUERP se gagne ou se perd. Trop large — « l'atelier » — il masque les expositions réelles et rend l'inventaire incontestable parce qu'il est vide. Trop fin, il devient impossible à mettre à jour et cesse de l'être.</w:t>
      </w:r>
    </w:p>
    <w:p>
      <w:r>
        <w:br w:type="page"/>
      </w:r>
    </w:p>
    <w:p>
      <w:pPr>
        <w:pStyle w:val="SaH1"/>
      </w:pPr>
      <w:r>
        <w:t xml:space="preserve">4. Inventaire des risques, unité de travail par unité de travail</w:t>
      </w:r>
    </w:p>
    <w:p>
      <w:pPr>
        <w:pStyle w:val="SaBasis"/>
      </w:pPr>
      <w:r>
        <w:t xml:space="preserve">— imposé par la réglementation</w:t>
      </w:r>
    </w:p>
    <w:p>
      <w:pPr>
        <w:pStyle w:val="SaBody"/>
      </w:pPr>
      <w:r>
        <w:rPr>
          <w:b w:val="false"/>
          <w:bCs w:val="false"/>
        </w:rPr>
        <w:t xml:space="preserve">Une page par unité de travail listée au point 3 : dupliquez celle-ci autant de fois que nécessaire. L'inventaire doit couvrir les risques identifiés dans l'unité, y compris ceux liés aux ambiances thermiques — mention ajoutée à R. 4121-1 par le décret du 27 mai 2025.</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Unité de travail</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de l'évaluation</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Participants à l'évaluation</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Effectif concerné</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023"/>
        <w:gridCol w:w="1734"/>
        <w:gridCol w:w="1638"/>
        <w:gridCol w:w="1060"/>
        <w:gridCol w:w="2702"/>
      </w:tblGrid>
      <w:tr>
        <w:trPr>
          <w:tblHeader/>
        </w:trPr>
        <w:tc>
          <w:tcPr>
            <w:tcW w:type="dxa" w:w="481"/>
            <w:shd w:fill="014259" w:color="auto" w:val="clear"/>
            <w:tcMar>
              <w:top w:type="dxa" w:w="60"/>
              <w:left w:type="dxa" w:w="100"/>
              <w:bottom w:type="dxa" w:w="60"/>
              <w:right w:type="dxa" w:w="100"/>
            </w:tcMar>
          </w:tcPr>
          <w:p>
            <w:pPr>
              <w:pStyle w:val="SaCellHeader"/>
            </w:pPr>
            <w:r>
              <w:t xml:space="preserve">N°</w:t>
            </w:r>
          </w:p>
        </w:tc>
        <w:tc>
          <w:tcPr>
            <w:tcW w:type="dxa" w:w="2023"/>
            <w:shd w:fill="014259" w:color="auto" w:val="clear"/>
            <w:tcMar>
              <w:top w:type="dxa" w:w="60"/>
              <w:left w:type="dxa" w:w="100"/>
              <w:bottom w:type="dxa" w:w="60"/>
              <w:right w:type="dxa" w:w="100"/>
            </w:tcMar>
          </w:tcPr>
          <w:p>
            <w:pPr>
              <w:pStyle w:val="SaCellHeader"/>
            </w:pPr>
            <w:r>
              <w:t xml:space="preserve">Danger ou situation dangereuse</w:t>
            </w:r>
          </w:p>
        </w:tc>
        <w:tc>
          <w:tcPr>
            <w:tcW w:type="dxa" w:w="1734"/>
            <w:shd w:fill="014259" w:color="auto" w:val="clear"/>
            <w:tcMar>
              <w:top w:type="dxa" w:w="60"/>
              <w:left w:type="dxa" w:w="100"/>
              <w:bottom w:type="dxa" w:w="60"/>
              <w:right w:type="dxa" w:w="100"/>
            </w:tcMar>
          </w:tcPr>
          <w:p>
            <w:pPr>
              <w:pStyle w:val="SaCellHeader"/>
            </w:pPr>
            <w:r>
              <w:t xml:space="preserve">Qui est exposé, et comment</w:t>
            </w:r>
          </w:p>
        </w:tc>
        <w:tc>
          <w:tcPr>
            <w:tcW w:type="dxa" w:w="1638"/>
            <w:shd w:fill="014259" w:color="auto" w:val="clear"/>
            <w:tcMar>
              <w:top w:type="dxa" w:w="60"/>
              <w:left w:type="dxa" w:w="100"/>
              <w:bottom w:type="dxa" w:w="60"/>
              <w:right w:type="dxa" w:w="100"/>
            </w:tcMar>
          </w:tcPr>
          <w:p>
            <w:pPr>
              <w:pStyle w:val="SaCellHeader"/>
            </w:pPr>
            <w:r>
              <w:t xml:space="preserve">Mesures déjà en place</w:t>
            </w:r>
          </w:p>
        </w:tc>
        <w:tc>
          <w:tcPr>
            <w:tcW w:type="dxa" w:w="1060"/>
            <w:shd w:fill="014259" w:color="auto" w:val="clear"/>
            <w:tcMar>
              <w:top w:type="dxa" w:w="60"/>
              <w:left w:type="dxa" w:w="100"/>
              <w:bottom w:type="dxa" w:w="60"/>
              <w:right w:type="dxa" w:w="100"/>
            </w:tcMar>
          </w:tcPr>
          <w:p>
            <w:pPr>
              <w:pStyle w:val="SaCellHeader"/>
            </w:pPr>
            <w:r>
              <w:t xml:space="preserve">G × P = niveau</w:t>
            </w:r>
          </w:p>
        </w:tc>
        <w:tc>
          <w:tcPr>
            <w:tcW w:type="dxa" w:w="2702"/>
            <w:shd w:fill="014259" w:color="auto" w:val="clear"/>
            <w:tcMar>
              <w:top w:type="dxa" w:w="60"/>
              <w:left w:type="dxa" w:w="100"/>
              <w:bottom w:type="dxa" w:w="60"/>
              <w:right w:type="dxa" w:w="100"/>
            </w:tcMar>
          </w:tcPr>
          <w:p>
            <w:pPr>
              <w:pStyle w:val="SaCellHeader"/>
            </w:pPr>
            <w:r>
              <w:t xml:space="preserve">Mesure décidée · responsable · échéance</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3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La dernière colonne est volontairement la plus large. Un inventaire sans mesure décidée en face de chaque ligne satisfait la lettre de R. 4121-1 et rate ce que L. 4121-3-1 attend de ses résultats — et c'est la première chose qu'un contrôle regarde après l'existence du document.</w:t>
      </w:r>
    </w:p>
    <w:p>
      <w:r>
        <w:br w:type="page"/>
      </w:r>
    </w:p>
    <w:p>
      <w:pPr>
        <w:pStyle w:val="SaH1"/>
      </w:pPr>
      <w:r>
        <w:t xml:space="preserve">5. Ce à quoi les résultats débouchent : programme annuel ou liste d'actions</w:t>
      </w:r>
    </w:p>
    <w:p>
      <w:pPr>
        <w:pStyle w:val="SaBasis"/>
      </w:pPr>
      <w:r>
        <w:t xml:space="preserve">— imposé par la réglementation</w:t>
      </w:r>
    </w:p>
    <w:p>
      <w:pPr>
        <w:pStyle w:val="SaBody"/>
      </w:pPr>
      <w:r>
        <w:rPr>
          <w:b w:val="false"/>
          <w:bCs w:val="false"/>
        </w:rPr>
        <w:t xml:space="preserve">L. 4121-3-1 (III) sépare deux régimes selon l'effectif. À partir de cinquante salariés : un programme annuel de prévention des risques professionnels et d'amélioration des conditions de travail. En dessous de cinquante : une liste d'actions de prévention et de protection, « consignée dans le document unique » — donc ici même, et non dans un fichier à part.</w:t>
      </w:r>
    </w:p>
    <w:p>
      <w:pPr>
        <w:pStyle w:val="SaBody"/>
      </w:pPr>
      <w:r>
        <w:rPr>
          <w:b/>
          <w:bCs/>
        </w:rPr>
        <w:t xml:space="preserve">Les colonnes « conditions d'exécution », « indicateur de résultat » et « coût estimé » ne sont pas du zèle : l'article les énumère mesure par mesure. Un programme qui les omet est incomplet au sens du texte.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313"/>
        <w:gridCol w:w="1252"/>
        <w:gridCol w:w="1542"/>
        <w:gridCol w:w="1445"/>
        <w:gridCol w:w="963"/>
        <w:gridCol w:w="1060"/>
        <w:gridCol w:w="1063"/>
      </w:tblGrid>
      <w:tr>
        <w:trPr>
          <w:tblHeader/>
        </w:trPr>
        <w:tc>
          <w:tcPr>
            <w:tcW w:type="dxa" w:w="2313"/>
            <w:shd w:fill="014259" w:color="auto" w:val="clear"/>
            <w:tcMar>
              <w:top w:type="dxa" w:w="60"/>
              <w:left w:type="dxa" w:w="100"/>
              <w:bottom w:type="dxa" w:w="60"/>
              <w:right w:type="dxa" w:w="100"/>
            </w:tcMar>
          </w:tcPr>
          <w:p>
            <w:pPr>
              <w:pStyle w:val="SaCellHeader"/>
            </w:pPr>
            <w:r>
              <w:t xml:space="preserve">Mesure à prendre dans l'année</w:t>
            </w:r>
          </w:p>
        </w:tc>
        <w:tc>
          <w:tcPr>
            <w:tcW w:type="dxa" w:w="1252"/>
            <w:shd w:fill="014259" w:color="auto" w:val="clear"/>
            <w:tcMar>
              <w:top w:type="dxa" w:w="60"/>
              <w:left w:type="dxa" w:w="100"/>
              <w:bottom w:type="dxa" w:w="60"/>
              <w:right w:type="dxa" w:w="100"/>
            </w:tcMar>
          </w:tcPr>
          <w:p>
            <w:pPr>
              <w:pStyle w:val="SaCellHeader"/>
            </w:pPr>
            <w:r>
              <w:t xml:space="preserve">Unité(s) concernée(s)</w:t>
            </w:r>
          </w:p>
        </w:tc>
        <w:tc>
          <w:tcPr>
            <w:tcW w:type="dxa" w:w="1542"/>
            <w:shd w:fill="014259" w:color="auto" w:val="clear"/>
            <w:tcMar>
              <w:top w:type="dxa" w:w="60"/>
              <w:left w:type="dxa" w:w="100"/>
              <w:bottom w:type="dxa" w:w="60"/>
              <w:right w:type="dxa" w:w="100"/>
            </w:tcMar>
          </w:tcPr>
          <w:p>
            <w:pPr>
              <w:pStyle w:val="SaCellHeader"/>
            </w:pPr>
            <w:r>
              <w:t xml:space="preserve">Conditions d'exécution</w:t>
            </w:r>
          </w:p>
        </w:tc>
        <w:tc>
          <w:tcPr>
            <w:tcW w:type="dxa" w:w="1445"/>
            <w:shd w:fill="014259" w:color="auto" w:val="clear"/>
            <w:tcMar>
              <w:top w:type="dxa" w:w="60"/>
              <w:left w:type="dxa" w:w="100"/>
              <w:bottom w:type="dxa" w:w="60"/>
              <w:right w:type="dxa" w:w="100"/>
            </w:tcMar>
          </w:tcPr>
          <w:p>
            <w:pPr>
              <w:pStyle w:val="SaCellHeader"/>
            </w:pPr>
            <w:r>
              <w:t xml:space="preserve">Indicateur de résultat</w:t>
            </w:r>
          </w:p>
        </w:tc>
        <w:tc>
          <w:tcPr>
            <w:tcW w:type="dxa" w:w="963"/>
            <w:shd w:fill="014259" w:color="auto" w:val="clear"/>
            <w:tcMar>
              <w:top w:type="dxa" w:w="60"/>
              <w:left w:type="dxa" w:w="100"/>
              <w:bottom w:type="dxa" w:w="60"/>
              <w:right w:type="dxa" w:w="100"/>
            </w:tcMar>
          </w:tcPr>
          <w:p>
            <w:pPr>
              <w:pStyle w:val="SaCellHeader"/>
            </w:pPr>
            <w:r>
              <w:t xml:space="preserve">Coût estimé</w:t>
            </w:r>
          </w:p>
        </w:tc>
        <w:tc>
          <w:tcPr>
            <w:tcW w:type="dxa" w:w="1060"/>
            <w:shd w:fill="014259" w:color="auto" w:val="clear"/>
            <w:tcMar>
              <w:top w:type="dxa" w:w="60"/>
              <w:left w:type="dxa" w:w="100"/>
              <w:bottom w:type="dxa" w:w="60"/>
              <w:right w:type="dxa" w:w="100"/>
            </w:tcMar>
          </w:tcPr>
          <w:p>
            <w:pPr>
              <w:pStyle w:val="SaCellHeader"/>
            </w:pPr>
            <w:r>
              <w:t xml:space="preserve">Responsable</w:t>
            </w:r>
          </w:p>
        </w:tc>
        <w:tc>
          <w:tcPr>
            <w:tcW w:type="dxa" w:w="1063"/>
            <w:shd w:fill="014259" w:color="auto" w:val="clear"/>
            <w:tcMar>
              <w:top w:type="dxa" w:w="60"/>
              <w:left w:type="dxa" w:w="100"/>
              <w:bottom w:type="dxa" w:w="60"/>
              <w:right w:type="dxa" w:w="100"/>
            </w:tcMar>
          </w:tcPr>
          <w:p>
            <w:pPr>
              <w:pStyle w:val="SaCellHeader"/>
            </w:pPr>
            <w:r>
              <w:t xml:space="preserve">Échéance</w:t>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5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4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891"/>
        <w:gridCol w:w="6747"/>
      </w:tblGrid>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Ressources de l'entreprise mobilisables</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[énuméré au b) du 1° du III — moyens humains, budget, appui du SPST ou de la branche]</w:t>
            </w:r>
          </w:p>
        </w:tc>
      </w:tr>
      <w:tr>
        <w:tc>
          <w:tcPr>
            <w:tcW w:type="dxa" w:w="2891"/>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Calendrier de mise en œuvre</w:t>
            </w:r>
          </w:p>
        </w:tc>
        <w:tc>
          <w:tcPr>
            <w:tcW w:type="dxa" w:w="674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[exigé au c) du 1° du III]</w:t>
            </w:r>
          </w:p>
        </w:tc>
      </w:tr>
    </w:tbl>
    <w:p>
      <w:pPr>
        <w:pStyle w:val="SaChrome"/>
      </w:pPr>
    </w:p>
    <w:p>
      <w:pPr>
        <w:pStyle w:val="SaH1"/>
      </w:pPr>
      <w:r>
        <w:t xml:space="preserve">6. Mise à jour, conservation et transmission</w:t>
      </w:r>
    </w:p>
    <w:p>
      <w:pPr>
        <w:pStyle w:val="SaBasis"/>
      </w:pPr>
      <w:r>
        <w:t xml:space="preserve">— imposé par la réglementation</w:t>
      </w:r>
    </w:p>
    <w:p>
      <w:pPr>
        <w:pStyle w:val="SaBody"/>
      </w:pPr>
      <w:r>
        <w:rPr>
          <w:b w:val="false"/>
          <w:bCs w:val="false"/>
        </w:rPr>
        <w:t xml:space="preserve">R. 4121-2 fixe trois déclencheurs, et le premier est celui que la plupart des trames en circulation énoncent de travers.</w:t>
      </w:r>
    </w:p>
    <w:p>
      <w:pPr>
        <w:pStyle w:val="SaBody"/>
      </w:pPr>
      <w:r>
        <w:rPr>
          <w:b/>
          <w:bCs/>
        </w:rPr>
        <w:t xml:space="preserve">La mise à jour est annuelle dans les entreprises d'au moins onze salariés — pas dans toutes.</w:t>
      </w:r>
    </w:p>
    <w:p>
      <w:pPr>
        <w:pStyle w:val="SaBody"/>
      </w:pPr>
      <w:r>
        <w:rPr>
          <w:b w:val="false"/>
          <w:bCs w:val="false"/>
        </w:rPr>
        <w:t xml:space="preserve">En dessous de onze salariés, elle est due lors de toute décision d'aménagement important modifiant les conditions de santé, de sécurité ou de travail, et lorsqu'une information supplémentaire intéressant l'évaluation d'un risque parvient à l'employeur.</w:t>
      </w:r>
    </w:p>
    <w:p>
      <w:pPr>
        <w:pStyle w:val="SaBody"/>
      </w:pPr>
      <w:r>
        <w:rPr>
          <w:b w:val="false"/>
          <w:bCs w:val="false"/>
        </w:rPr>
        <w:t xml:space="preserve">Les versions successives se conservent quarante ans (R. 4121-4). L. 4121-3-1 (V, B) prévoit un dépôt dématérialisé sur un portail national ; tant que cette obligation n'est pas entrée en vigueur, R. 4121-4 dit expressément que l'employeur conserve les versions dans l'entreprise, sur papier ou sous forme dématérialisée. Et à chaque mise à jour, le document est transmis au service de prévention et de santé au travail (L. 4121-3-1, VI).</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867"/>
        <w:gridCol w:w="1060"/>
        <w:gridCol w:w="3084"/>
        <w:gridCol w:w="1734"/>
        <w:gridCol w:w="1445"/>
        <w:gridCol w:w="1448"/>
      </w:tblGrid>
      <w:tr>
        <w:trPr>
          <w:tblHeader/>
        </w:trPr>
        <w:tc>
          <w:tcPr>
            <w:tcW w:type="dxa" w:w="867"/>
            <w:shd w:fill="014259" w:color="auto" w:val="clear"/>
            <w:tcMar>
              <w:top w:type="dxa" w:w="60"/>
              <w:left w:type="dxa" w:w="100"/>
              <w:bottom w:type="dxa" w:w="60"/>
              <w:right w:type="dxa" w:w="100"/>
            </w:tcMar>
          </w:tcPr>
          <w:p>
            <w:pPr>
              <w:pStyle w:val="SaCellHeader"/>
            </w:pPr>
            <w:r>
              <w:t xml:space="preserve">Version</w:t>
            </w:r>
          </w:p>
        </w:tc>
        <w:tc>
          <w:tcPr>
            <w:tcW w:type="dxa" w:w="1060"/>
            <w:shd w:fill="014259" w:color="auto" w:val="clear"/>
            <w:tcMar>
              <w:top w:type="dxa" w:w="60"/>
              <w:left w:type="dxa" w:w="100"/>
              <w:bottom w:type="dxa" w:w="60"/>
              <w:right w:type="dxa" w:w="100"/>
            </w:tcMar>
          </w:tcPr>
          <w:p>
            <w:pPr>
              <w:pStyle w:val="SaCellHeader"/>
            </w:pPr>
            <w:r>
              <w:t xml:space="preserve">Date</w:t>
            </w:r>
          </w:p>
        </w:tc>
        <w:tc>
          <w:tcPr>
            <w:tcW w:type="dxa" w:w="3084"/>
            <w:shd w:fill="014259" w:color="auto" w:val="clear"/>
            <w:tcMar>
              <w:top w:type="dxa" w:w="60"/>
              <w:left w:type="dxa" w:w="100"/>
              <w:bottom w:type="dxa" w:w="60"/>
              <w:right w:type="dxa" w:w="100"/>
            </w:tcMar>
          </w:tcPr>
          <w:p>
            <w:pPr>
              <w:pStyle w:val="SaCellHeader"/>
            </w:pPr>
            <w:r>
              <w:t xml:space="preserve">Motif : annuelle · aménagement important · information nouvelle</w:t>
            </w:r>
          </w:p>
        </w:tc>
        <w:tc>
          <w:tcPr>
            <w:tcW w:type="dxa" w:w="1734"/>
            <w:shd w:fill="014259" w:color="auto" w:val="clear"/>
            <w:tcMar>
              <w:top w:type="dxa" w:w="60"/>
              <w:left w:type="dxa" w:w="100"/>
              <w:bottom w:type="dxa" w:w="60"/>
              <w:right w:type="dxa" w:w="100"/>
            </w:tcMar>
          </w:tcPr>
          <w:p>
            <w:pPr>
              <w:pStyle w:val="SaCellHeader"/>
            </w:pPr>
            <w:r>
              <w:t xml:space="preserve">Unités concernées</w:t>
            </w:r>
          </w:p>
        </w:tc>
        <w:tc>
          <w:tcPr>
            <w:tcW w:type="dxa" w:w="1445"/>
            <w:shd w:fill="014259" w:color="auto" w:val="clear"/>
            <w:tcMar>
              <w:top w:type="dxa" w:w="60"/>
              <w:left w:type="dxa" w:w="100"/>
              <w:bottom w:type="dxa" w:w="60"/>
              <w:right w:type="dxa" w:w="100"/>
            </w:tcMar>
          </w:tcPr>
          <w:p>
            <w:pPr>
              <w:pStyle w:val="SaCellHeader"/>
            </w:pPr>
            <w:r>
              <w:t xml:space="preserve">Transmis au SPST le</w:t>
            </w:r>
          </w:p>
        </w:tc>
        <w:tc>
          <w:tcPr>
            <w:tcW w:type="dxa" w:w="1448"/>
            <w:shd w:fill="014259" w:color="auto" w:val="clear"/>
            <w:tcMar>
              <w:top w:type="dxa" w:w="60"/>
              <w:left w:type="dxa" w:w="100"/>
              <w:bottom w:type="dxa" w:w="60"/>
              <w:right w:type="dxa" w:w="100"/>
            </w:tcMar>
          </w:tcPr>
          <w:p>
            <w:pPr>
              <w:pStyle w:val="SaCellHeader"/>
            </w:pPr>
            <w:r>
              <w:t xml:space="preserve">Rédacteur</w:t>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06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08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Cette table est la seule partie du document qu'un contrôle peut lire en trente secondes, et c'est celle qui dit si l'évaluation est vivante. Une seule ligne datée d'il y a trois ans en dit plus long que cent pages d'inventaire.</w:t>
      </w:r>
    </w:p>
    <w:p>
      <w:pPr>
        <w:pStyle w:val="SaH1"/>
      </w:pPr>
      <w:r>
        <w:t xml:space="preserve">7. Mise à disposition et information</w:t>
      </w:r>
    </w:p>
    <w:p>
      <w:pPr>
        <w:pStyle w:val="SaBasis"/>
      </w:pPr>
      <w:r>
        <w:t xml:space="preserve">— imposé par la réglementation</w:t>
      </w:r>
    </w:p>
    <w:p>
      <w:pPr>
        <w:pStyle w:val="SaBody"/>
      </w:pPr>
      <w:r>
        <w:rPr>
          <w:b w:val="false"/>
          <w:bCs w:val="false"/>
        </w:rPr>
        <w:t xml:space="preserve">R. 4121-4 énumère qui peut lire le document, et pendant quarante ans. La liste est plus large que ce que l'usage retient — les anciens travailleurs y figurent, pour les versions couvrant leur période d'activité, et ils peuvent les communiquer aux professionnels de santé qui les suivent.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Avis affiché indiquant les modalités d'accès des travailleurs au document unique.</w:t>
            </w:r>
          </w:p>
          <w:p>
            <w:pPr>
              <w:pStyle w:val="SaHint"/>
            </w:pPr>
            <w:r>
              <w:t xml:space="preserve">À une place convenable et aisément accessible ; au même emplacement que le règlement intérieur lorsqu'il en existe un (R. 4121-4, dernier alinéa).</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Tenu à la disposition des travailleurs et des anciens travailleurs.</w:t>
            </w:r>
          </w:p>
          <w:p>
            <w:pPr>
              <w:pStyle w:val="SaHint"/>
            </w:pPr>
            <w:r>
              <w:t xml:space="preserve">Pour les versions en vigueur pendant leur période d'activité. La communication des versions antérieures peut être limitée aux éléments afférents à l'activité du demandeur.</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Tenu à la disposition des membres de la délégation du personnel du CSE.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Tenu à la disposition du service de prévention et de santé au travail.</w:t>
            </w:r>
          </w:p>
          <w:p>
            <w:pPr>
              <w:pStyle w:val="SaHint"/>
            </w:pPr>
            <w:r>
              <w:t xml:space="preserve">Et transmis à chaque mise à jour, ce qui est une obligation distincte (L. 4121-3-1, VI).</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Tenu à la disposition des agents du système d'inspection du travail.</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Tenu à la disposition des agents des services de prévention des organismes de sécurité sociale.</w:t>
            </w:r>
          </w:p>
          <w:p>
            <w:pPr>
              <w:pStyle w:val="SaHint"/>
            </w:pPr>
            <w:r>
              <w:t xml:space="preserve">CARSAT, CRAMIF, CGSS selon la région.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Tenu à la disposition des agents des organismes professionnels de santé, de sécurité et des conditions de travail.</w:t>
            </w:r>
          </w:p>
          <w:p>
            <w:pPr>
              <w:pStyle w:val="SaHint"/>
            </w:pPr>
            <w:r>
              <w:t xml:space="preserve">L'OPPBTP pour le bâtiment et les travaux publics (L. 4643-1).</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Résultats des évaluations d'exposition aux rayonnements ionisants tenus à la disposition des inspecteurs de la radioprotection.</w:t>
            </w:r>
          </w:p>
          <w:p>
            <w:pPr>
              <w:pStyle w:val="SaHint"/>
            </w:pPr>
            <w:r>
              <w:t xml:space="preserve">Le cas échéant seulement, et pour les installations dont ils ont la charge.</w:t>
            </w:r>
          </w:p>
        </w:tc>
      </w:tr>
    </w:tbl>
    <w:p>
      <w:pPr>
        <w:pStyle w:val="SaChrome"/>
      </w:pPr>
    </w:p>
    <w:p>
      <w:pPr>
        <w:pStyle w:val="SaH1"/>
      </w:pPr>
      <w:r>
        <w:t xml:space="preserve">8. Validation</w:t>
      </w:r>
    </w:p>
    <w:p>
      <w:pPr>
        <w:pStyle w:val="SaBasis"/>
      </w:pPr>
      <w:r>
        <w:t xml:space="preserve">— pratique de métier, rien ne l'impose</w:t>
      </w:r>
    </w:p>
    <w:p>
      <w:pPr>
        <w:pStyle w:val="SaBody"/>
      </w:pPr>
      <w:r>
        <w:rPr>
          <w:b w:val="false"/>
          <w:bCs w:val="false"/>
        </w:rPr>
        <w:t xml:space="preserve">Aucun texte n'impose de signature sur le DUERP. Elle est là pour une raison prosaïque : c'est ce qui distingue un fichier trouvé sur un serveur d'un document que l'employeur assume, et c'est la question qu'on pose en premier quand un DUERP est produit après un accident.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3212"/>
        <w:gridCol w:w="3212"/>
        <w:gridCol w:w="3214"/>
      </w:tblGrid>
      <w:tr>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L'employeur ou son représentant</w:t>
            </w:r>
          </w:p>
          <w:p>
            <w:pPr>
              <w:pStyle w:val="SaHint"/>
            </w:pPr>
            <w:r>
              <w:t xml:space="preserve">Nom, fonction, date</w:t>
            </w:r>
          </w:p>
        </w:tc>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Le rédacteur de l'évaluation</w:t>
            </w:r>
          </w:p>
          <w:p>
            <w:pPr>
              <w:pStyle w:val="SaHint"/>
            </w:pPr>
            <w:r>
              <w:t xml:space="preserve">Nom, fonction, date</w:t>
            </w:r>
          </w:p>
        </w:tc>
        <w:tc>
          <w:tcPr>
            <w:tcW w:type="dxa" w:w="321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Pour la délégation du personnel du CSE</w:t>
            </w:r>
          </w:p>
          <w:p>
            <w:pPr>
              <w:pStyle w:val="SaHint"/>
            </w:pPr>
            <w:r>
              <w:t xml:space="preserve">Facultatif — rien ne l'impose</w:t>
            </w:r>
          </w:p>
        </w:tc>
      </w:tr>
      <w:tr>
        <w:trPr>
          <w:trHeight w:val="1100" w:hRule="atLeast"/>
        </w:trPr>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Code du travail, article R. 4121-1 — transcription dans un document unique — </w:t>
      </w:r>
      <w:hyperlink w:history="1" r:id="rIdugchjpcpjjb64ofrx4i-0">
        <w:r>
          <w:rPr>
            <w:color w:val="005674"/>
            <w:u w:val="single"/>
          </w:rPr>
          <w:t xml:space="preserve">https://www.legifrance.gouv.fr/codes/article_lc/LEGIARTI000023795562</w:t>
        </w:r>
      </w:hyperlink>
    </w:p>
    <w:p>
      <w:pPr>
        <w:pStyle w:val="ListParagraph"/>
        <w:pStyle w:val="SaNote"/>
        <w:numPr>
          <w:ilvl w:val="0"/>
          <w:numId w:val="1"/>
        </w:numPr>
      </w:pPr>
      <w:r>
        <w:t xml:space="preserve">Code du travail, article L. 4121-3-1 — contenu, programme annuel, conservation — </w:t>
      </w:r>
      <w:hyperlink w:history="1" r:id="rIdqekna5ayf5xr8h89_usdt">
        <w:r>
          <w:rPr>
            <w:color w:val="005674"/>
            <w:u w:val="single"/>
          </w:rPr>
          <w:t xml:space="preserve">https://www.legifrance.gouv.fr/codes/article_lc/LEGIARTI000043893919</w:t>
        </w:r>
      </w:hyperlink>
    </w:p>
    <w:p>
      <w:pPr>
        <w:pStyle w:val="ListParagraph"/>
        <w:pStyle w:val="SaNote"/>
        <w:numPr>
          <w:ilvl w:val="0"/>
          <w:numId w:val="1"/>
        </w:numPr>
      </w:pPr>
      <w:r>
        <w:t xml:space="preserve">Code du travail, article R. 4121-2 — quand la mise à jour est due — </w:t>
      </w:r>
      <w:hyperlink w:history="1" r:id="rIdz97ta7ypds1d5okqjne6s">
        <w:r>
          <w:rPr>
            <w:color w:val="005674"/>
            <w:u w:val="single"/>
          </w:rPr>
          <w:t xml:space="preserve">https://www.legifrance.gouv.fr/codes/article_lc/LEGIARTI000045386446</w:t>
        </w:r>
      </w:hyperlink>
    </w:p>
    <w:p>
      <w:pPr>
        <w:pStyle w:val="ListParagraph"/>
        <w:pStyle w:val="SaNote"/>
        <w:numPr>
          <w:ilvl w:val="0"/>
          <w:numId w:val="1"/>
        </w:numPr>
      </w:pPr>
      <w:r>
        <w:t xml:space="preserve">Code du travail, article R. 4121-4 — qui peut le lire, et pendant quarante ans — </w:t>
      </w:r>
      <w:hyperlink w:history="1" r:id="rId9kpsmrejx1itpzej-dsrv">
        <w:r>
          <w:rPr>
            <w:color w:val="005674"/>
            <w:u w:val="single"/>
          </w:rPr>
          <w:t xml:space="preserve">https://www.legifrance.gouv.fr/codes/article_lc/LEGIARTI000045386451</w:t>
        </w:r>
      </w:hyperlink>
    </w:p>
    <w:p>
      <w:pPr>
        <w:pStyle w:val="SaNote"/>
      </w:pPr>
      <w:r>
        <w:rPr>
          <w:b w:val="false"/>
          <w:bCs w:val="false"/>
        </w:rPr>
        <w:t xml:space="preserve">Contenu relu le 2026-09-08 · La page de ce modèle — https://safeally.net/fr-fr/modeles/modele-duerp/</w:t>
      </w:r>
    </w:p>
    <w:p>
      <w:pPr>
        <w:pStyle w:val="SaNote"/>
      </w:pPr>
      <w:r>
        <w:rPr>
          <w:b w:val="false"/>
          <w:bCs w:val="false"/>
        </w:rPr>
        <w:t xml:space="preserve">SafeAlly — safeally.net · gratuit, sans compte, document modifiable</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Contenu relu le 2026-09-08 · safeally.net</w:t>
    </w:r>
    <w:r>
      <w:t xml:space="preserve">	</w:t>
      <w:t xml:space="preserve">Page </w:t>
      <w:fldChar w:fldCharType="begin"/>
      <w:instrText xml:space="preserve">PAGE</w:instrText>
      <w:fldChar w:fldCharType="separate"/>
      <w:fldChar w:fldCharType="end"/>
    </w:r>
    <w:r>
      <w:t xml:space="preserve"> sur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DUERP — établissement : …………………………………… — version 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legifrance.gouv.fr/codes/article_lc/LEGIARTI000023795562" TargetMode="External"/><Relationship Id="rIdqekna5ayf5xr8h89_usdt" Type="http://schemas.openxmlformats.org/officeDocument/2006/relationships/hyperlink" Target="https://www.legifrance.gouv.fr/codes/article_lc/LEGIARTI000043893919" TargetMode="External"/><Relationship Id="rIdz97ta7ypds1d5okqjne6s" Type="http://schemas.openxmlformats.org/officeDocument/2006/relationships/hyperlink" Target="https://www.legifrance.gouv.fr/codes/article_lc/LEGIARTI000045386446" TargetMode="External"/><Relationship Id="rId9kpsmrejx1itpzej-dsrv" Type="http://schemas.openxmlformats.org/officeDocument/2006/relationships/hyperlink" Target="https://www.legifrance.gouv.fr/codes/article_lc/LEGIARTI000045386451"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Trame de DUERP — document unique d'évaluation des risques professionnels</dc:title>
  <dc:subject>Trame vierge du document unique d'évaluation des risques professionnels — France. SafeAlly, safeally.net.</dc:subject>
  <dc:creator>SafeAlly — safeally.net</dc:creator>
  <dc:description>Trame vierge du document unique d'évaluation des risques professionnels — France.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