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aTitle"/>
      </w:pPr>
      <w:r>
        <w:t xml:space="preserve">Documento di valutazione dei rischi</w:t>
      </w:r>
    </w:p>
    <w:p>
      <w:pPr>
        <w:pStyle w:val="SaSubtitle"/>
      </w:pPr>
      <w:r>
        <w:t xml:space="preserve">Italia — D.Lgs. 81/2008, articoli 17, 28 e 29</w:t>
      </w:r>
    </w:p>
    <w:tbl>
      <w:tblPr>
        <w:tblW w:type="dxa" w:w="9638"/>
        <w:tblBorders>
          <w:top w:val="single" w:color="FFC250" w:sz="8"/>
          <w:left w:val="single" w:color="FFC250" w:sz="8"/>
          <w:bottom w:val="single" w:color="FFC250" w:sz="8"/>
          <w:right w:val="single" w:color="FFC250" w:sz="8"/>
          <w:insideH w:val="none" w:color="auto" w:sz="0"/>
          <w:insideV w:val="none" w:color="auto" w:sz="0"/>
        </w:tblBorders>
      </w:tblPr>
      <w:tblGrid>
        <w:gridCol w:w="9638"/>
      </w:tblGrid>
      <w:tr>
        <w:tc>
          <w:tcPr>
            <w:tcW w:type="dxa" w:w="9638"/>
            <w:shd w:fill="FFEED3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Che cosa non è questo modello</w:t>
            </w:r>
          </w:p>
          <w:p>
            <w:pPr>
              <w:pStyle w:val="SaCell"/>
            </w:pPr>
            <w:r>
              <w:t xml:space="preserve">Non è una valutazione dei rischi. L'art. 17, comma 1, lettera a) mette la valutazione e l'elaborazione del documento fra gli obblighi del datore di lavoro che non possono essere delegati: compilare un modello non assolve nulla se la valutazione non è stata fatta nei luoghi di lavoro, con il RSPP e con il medico competente nei casi previsti. Attenzione anche al contrario: dal 1° gennaio 2013 l'autocertificazione non è più ammessa per nessuno. Nessuna parte di questo testo è un parere legale.</w:t>
            </w:r>
          </w:p>
        </w:tc>
      </w:tr>
    </w:tbl>
    <w:p>
      <w:pPr>
        <w:pStyle w:val="SaChrome"/>
      </w:pPr>
    </w:p>
    <w:p>
      <w:pPr>
        <w:pStyle w:val="SaBody"/>
      </w:pPr>
      <w:r>
        <w:rPr>
          <w:b w:val="false"/>
          <w:bCs w:val="false"/>
        </w:rPr>
        <w:t xml:space="preserve">Le aree grigie sono da compilare. Ciò che è fra parentesi quadre è un esempio: da sostituire. Il documento è modificabile: tolga ciò che non la riguarda, ma legga prima la nota di ogni sezione.</w:t>
      </w:r>
    </w:p>
    <w:p>
      <w:pPr>
        <w:pStyle w:val="SaH1"/>
      </w:pPr>
      <w:r>
        <w:t xml:space="preserve">1. Azienda, unità produttiva e custodia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L'art. 29, comma 4 impone che il documento sia custodito presso l'unità produttiva alla quale la valutazione si riferisce — non in sede e non solo sul server. Per questo il documento nomina l'unità produttiva in testa e indica dove la copia è tenuta.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Ragione sociale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Partita IVA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Unità produttiva a cui si riferisce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Indirizzo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Attività (ATECO)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Numero di lavoratori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Dove è custodito il documento nell'unità produttiva</w:t>
            </w:r>
          </w:p>
        </w:tc>
        <w:tc>
          <w:tcPr>
            <w:tcW w:type="dxa" w:w="7133"/>
            <w:gridSpan w:val="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[locale, armadio, referente — art. 29, comma 4]</w:t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Modalità di valutazione adottata</w:t>
            </w:r>
          </w:p>
        </w:tc>
        <w:tc>
          <w:tcPr>
            <w:tcW w:type="dxa" w:w="7133"/>
            <w:gridSpan w:val="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[ordinaria · procedure standardizzate (fino a 50 lavoratori, art. 29 co. 6)]</w:t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Revisione n. e data</w:t>
            </w:r>
          </w:p>
        </w:tc>
        <w:tc>
          <w:tcPr>
            <w:tcW w:type="dxa" w:w="7133"/>
            <w:gridSpan w:val="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2. Soggetti che hanno partecipato alla valutazione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La lettera e) del comma 2 chiede l'indicazione del nominativo del RSPP, del RLS o di quello territoriale e del medico competente che ha partecipato alla valutazione. L'art. 29, commi 1 e 2 spiega perché: la valutazione si fa in collaborazione con RSPP e medico competente nei casi dell'art. 41, e previa consultazione del RLS.</w:t>
      </w:r>
    </w:p>
    <w:p>
      <w:pPr>
        <w:pStyle w:val="SaBody"/>
      </w:pPr>
      <w:r>
        <w:rPr>
          <w:b/>
          <w:bCs/>
        </w:rPr>
        <w:t xml:space="preserve">Un DVR che non nomina queste persone è incompleto per la lettera e), e un DVR che le nomina senza che siano state coinvolte è peggio.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Datore di lavoro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Dirigenti e preposti coinvolti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RSPP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[interno o esterno]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ASPP, se nominati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RLS o RLST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Data della consultazione del RLS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Medico competente, ove nominato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Addetti emergenza e primo soccorso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3. Relazione sulla valutazione e criteri adottati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Lettera a) del comma 2: una relazione sulla valutazione di tutti i rischi «nella quale siano specificati i criteri adottati per la valutazione stessa». La scelta dei criteri è rimessa al datore di lavoro, che vi provvede — parole della norma — «con criteri di semplicità, brevità e comprensibilità, in modo da garantirne la completezza e l'idoneità quale strumento operativo».</w:t>
      </w:r>
    </w:p>
    <w:p>
      <w:pPr>
        <w:pStyle w:val="SaBody"/>
      </w:pPr>
      <w:r>
        <w:rPr>
          <w:b/>
          <w:bCs/>
        </w:rPr>
        <w:t xml:space="preserve">È una delle rare norme che chiedono espressamente di essere brevi. Un DVR di trecento pagine copiate da un modello non è più completo: è meno idoneo come strumento operativo, e la lettera a) lo dice.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Metodo di valutazione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[matrice probabilità × danno, norma tecnica di riferimento, linee guida INAIL]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Scala del danno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[scriverla per esteso]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Scala della probabilità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[scriverla per esteso]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Soglia oltre la quale la misura è obbligatoria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[e in quale termine]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Fonti utilizzate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[schede di sicurezza, libretti d'uso, misure strumentali, registro delle denunce INAIL, sorveglianza sanitaria]</w:t>
            </w:r>
          </w:p>
        </w:tc>
      </w:tr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Titoli specifici del decreto applicabili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[art. 28 co. 3 — cantieri, chimico, rumore, vibrazioni, movimentazione manuale, videoterminali, agenti biologici, ATEX]</w:t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4. Aree di lavoro e mansioni</w:t>
      </w:r>
    </w:p>
    <w:p>
      <w:pPr>
        <w:pStyle w:val="SaBasis"/>
      </w:pPr>
      <w:r>
        <w:t xml:space="preserve">— prassi di settore, nulla lo impone</w:t>
      </w:r>
    </w:p>
    <w:p>
      <w:pPr>
        <w:pStyle w:val="SaBody"/>
      </w:pPr>
      <w:r>
        <w:rPr>
          <w:b w:val="false"/>
          <w:bCs w:val="false"/>
        </w:rPr>
        <w:t xml:space="preserve">Il decreto non impone una unità di analisi. La mansione è la scelta più difendibile, perché è ciò a cui il comma 2, lettera f) aggancia i rischi specifici e ciò su cui si costruiscono formazione e sorveglianza sanitaria.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698"/>
        <w:gridCol w:w="1156"/>
        <w:gridCol w:w="1542"/>
        <w:gridCol w:w="1737"/>
      </w:tblGrid>
      <w:tr>
        <w:trPr>
          <w:tblHeader/>
        </w:trPr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Mansione o area</w:t>
            </w:r>
          </w:p>
        </w:tc>
        <w:tc>
          <w:tcPr>
            <w:tcW w:type="dxa" w:w="269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Attività comprese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Lavoratori</w:t>
            </w:r>
          </w:p>
        </w:tc>
        <w:tc>
          <w:tcPr>
            <w:tcW w:type="dxa" w:w="154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Preposto</w:t>
            </w:r>
          </w:p>
        </w:tc>
        <w:tc>
          <w:tcPr>
            <w:tcW w:type="dxa" w:w="173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Sopralluogo del</w:t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69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5. I rischi che l'art. 28 impone di valutare comunque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Il comma 1 elenca per esteso rischi che altrove restano impliciti. L'elenco è nel documento perché una valutazione che ne salta uno è incompleta, e lo si vede soltanto se le righe sono stampate.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590"/>
        <w:gridCol w:w="1927"/>
        <w:gridCol w:w="2121"/>
      </w:tblGrid>
      <w:tr>
        <w:trPr>
          <w:tblHeader/>
        </w:trPr>
        <w:tc>
          <w:tcPr>
            <w:tcW w:type="dxa" w:w="559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Rischio indicato dall'art. 28, comma 1</w:t>
            </w:r>
          </w:p>
        </w:tc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Valutato il</w:t>
            </w:r>
          </w:p>
        </w:tc>
        <w:tc>
          <w:tcPr>
            <w:tcW w:type="dxa" w:w="212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Dove è trattato in questo documento</w:t>
            </w:r>
          </w:p>
        </w:tc>
      </w:tr>
      <w:tr>
        <w:tc>
          <w:tcPr>
            <w:tcW w:type="dxa" w:w="55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Gruppi di lavoratori esposti a rischi particolari</w:t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55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Stress lavoro-correlato, secondo l'accordo europeo dell'8 ottobre 2004</w:t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55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Lavoratrici in stato di gravidanza (D.Lgs. 151/2001)</w:t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55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Differenze di genere</w:t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55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Età</w:t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55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Provenienza da altri Paesi</w:t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55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Specifica tipologia contrattuale del rapporto di lavoro</w:t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559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>Ordigni bellici inesplosi, nei cantieri interessati da attività di scavo</w:t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L'obbligo di valutare lo stress lavoro-correlato decorre, per legge, dal 1° agosto 2010 (comma 1-bis). L'ultima riga riguarda soltanto i cantieri temporanei o mobili con attività di scavo: se non è il vostro caso, cancellatela — dopo averla letta.</w:t>
      </w:r>
    </w:p>
    <w:p>
      <w:r>
        <w:br w:type="page"/>
      </w:r>
    </w:p>
    <w:p>
      <w:pPr>
        <w:pStyle w:val="SaH1"/>
      </w:pPr>
      <w:r>
        <w:t xml:space="preserve">6. Valutazione dei rischi e misure attuate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Un foglio per mansione fra quelle elencate al punto 4. Le colonne seguono le lettere a) e b) del comma 2: il risultato della valutazione, e l'indicazione delle misure di prevenzione e protezione attuate e dei DPI adottati.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313"/>
        <w:gridCol w:w="2505"/>
        <w:gridCol w:w="2315"/>
      </w:tblGrid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Mansione o area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Data della valutazione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Presenti</w:t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Lavoratori interessati</w:t>
            </w:r>
          </w:p>
        </w:tc>
        <w:tc>
          <w:tcPr>
            <w:tcW w:type="dxa" w:w="231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"/>
        <w:gridCol w:w="2023"/>
        <w:gridCol w:w="1638"/>
        <w:gridCol w:w="1734"/>
        <w:gridCol w:w="1060"/>
        <w:gridCol w:w="2702"/>
      </w:tblGrid>
      <w:tr>
        <w:trPr>
          <w:tblHeader/>
        </w:trPr>
        <w:tc>
          <w:tcPr>
            <w:tcW w:type="dxa" w:w="481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N.</w:t>
            </w:r>
          </w:p>
        </w:tc>
        <w:tc>
          <w:tcPr>
            <w:tcW w:type="dxa" w:w="202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Pericolo e rischio</w:t>
            </w:r>
          </w:p>
        </w:tc>
        <w:tc>
          <w:tcPr>
            <w:tcW w:type="dxa" w:w="163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Chi è esposto, e come</w:t>
            </w:r>
          </w:p>
        </w:tc>
        <w:tc>
          <w:tcPr>
            <w:tcW w:type="dxa" w:w="173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Misure attuate e DPI adottati</w:t>
            </w:r>
          </w:p>
        </w:tc>
        <w:tc>
          <w:tcPr>
            <w:tcW w:type="dxa" w:w="106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 × D = livello</w:t>
            </w:r>
          </w:p>
        </w:tc>
        <w:tc>
          <w:tcPr>
            <w:tcW w:type="dxa" w:w="270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Misura da attuare · ruolo · termine</w:t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81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02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6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06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70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7. Programma di miglioramento nel tempo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Lettera c) del comma 2: il programma delle misure ritenute opportune per garantire il miglioramento nel tempo dei livelli di sicurezza. È un contenuto obbligatorio distinto dalle misure già attuate della lettera b): il DVR deve dire non solo dove siete, ma dove state andando.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1542"/>
        <w:gridCol w:w="1927"/>
        <w:gridCol w:w="1349"/>
        <w:gridCol w:w="1156"/>
        <w:gridCol w:w="1159"/>
      </w:tblGrid>
      <w:tr>
        <w:trPr>
          <w:tblHeader/>
        </w:trPr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Misura di miglioramento</w:t>
            </w:r>
          </w:p>
        </w:tc>
        <w:tc>
          <w:tcPr>
            <w:tcW w:type="dxa" w:w="154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Mansioni interessate</w:t>
            </w:r>
          </w:p>
        </w:tc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Obiettivo atteso</w:t>
            </w:r>
          </w:p>
        </w:tc>
        <w:tc>
          <w:tcPr>
            <w:tcW w:type="dxa" w:w="134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Risorse</w:t>
            </w:r>
          </w:p>
        </w:tc>
        <w:tc>
          <w:tcPr>
            <w:tcW w:type="dxa" w:w="115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Ruolo responsabile</w:t>
            </w:r>
          </w:p>
        </w:tc>
        <w:tc>
          <w:tcPr>
            <w:tcW w:type="dxa" w:w="115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Termine</w:t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54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8. Procedure e ruoli per l'attuazione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Lettera d) del comma 2: l'individuazione delle procedure per l'attuazione delle misure da realizzare, nonché dei ruoli dell'organizzazione aziendale che vi debbono provvedere — «a cui devono essere assegnati unicamente soggetti in possesso di adeguate competenze e poteri».</w:t>
      </w:r>
    </w:p>
    <w:p>
      <w:pPr>
        <w:pStyle w:val="SaBody"/>
      </w:pPr>
      <w:r>
        <w:rPr>
          <w:b/>
          <w:bCs/>
        </w:rPr>
        <w:t xml:space="preserve">Le due parole finali sono quelle che contano: competenze e poteri. Assegnare una misura a chi non ha il budget per attuarla è, alla lettera, un'assegnazione non conforme.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505"/>
        <w:gridCol w:w="2120"/>
        <w:gridCol w:w="1927"/>
        <w:gridCol w:w="3086"/>
      </w:tblGrid>
      <w:tr>
        <w:trPr>
          <w:tblHeader/>
        </w:trPr>
        <w:tc>
          <w:tcPr>
            <w:tcW w:type="dxa" w:w="2505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Procedura</w:t>
            </w:r>
          </w:p>
        </w:tc>
        <w:tc>
          <w:tcPr>
            <w:tcW w:type="dxa" w:w="212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Misure che attua</w:t>
            </w:r>
          </w:p>
        </w:tc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Ruolo che vi provvede</w:t>
            </w:r>
          </w:p>
        </w:tc>
        <w:tc>
          <w:tcPr>
            <w:tcW w:type="dxa" w:w="3086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Competenze e poteri riconosciuti</w:t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505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6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9. Mansioni che espongono a rischi specifici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Lettera f) del comma 2: l'individuazione delle mansioni che eventualmente espongono i lavoratori a rischi specifici che richiedono una riconosciuta capacità professionale, specifica esperienza, adeguata formazione e addestramento. È il punto in cui il DVR si collega alla formazione: se una mansione è qui, l'addestramento non è facoltativo.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927"/>
        <w:gridCol w:w="2120"/>
        <w:gridCol w:w="2120"/>
        <w:gridCol w:w="2313"/>
        <w:gridCol w:w="1158"/>
      </w:tblGrid>
      <w:tr>
        <w:trPr>
          <w:tblHeader/>
        </w:trPr>
        <w:tc>
          <w:tcPr>
            <w:tcW w:type="dxa" w:w="1927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Mansione</w:t>
            </w:r>
          </w:p>
        </w:tc>
        <w:tc>
          <w:tcPr>
            <w:tcW w:type="dxa" w:w="212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Rischio specifico</w:t>
            </w:r>
          </w:p>
        </w:tc>
        <w:tc>
          <w:tcPr>
            <w:tcW w:type="dxa" w:w="2120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Capacità o esperienza richiesta</w:t>
            </w:r>
          </w:p>
        </w:tc>
        <w:tc>
          <w:tcPr>
            <w:tcW w:type="dxa" w:w="231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Formazione e addestramento previsti</w:t>
            </w:r>
          </w:p>
        </w:tc>
        <w:tc>
          <w:tcPr>
            <w:tcW w:type="dxa" w:w="115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Verificato il</w:t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192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120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231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15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p>
      <w:pPr>
        <w:pStyle w:val="SaH1"/>
      </w:pPr>
      <w:r>
        <w:t xml:space="preserve">10. Rielaborazione: le cause e i trenta giorni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L'art. 29, comma 3 impone la rielaborazione immediata in quattro casi: modifiche del processo produttivo o dell'organizzazione del lavoro significative ai fini della salute e sicurezza; evoluzione della tecnica, della prevenzione o della protezione; infortuni significativi; risultati della sorveglianza sanitaria che ne evidenzino la necessità.</w:t>
      </w:r>
    </w:p>
    <w:p>
      <w:pPr>
        <w:pStyle w:val="SaBody"/>
      </w:pPr>
      <w:r>
        <w:rPr>
          <w:b/>
          <w:bCs/>
        </w:rPr>
        <w:t xml:space="preserve">E fissa un termine che nessun'altra giurisdizione di questo sito mette in giorni: il documento deve essere rielaborato entro trenta giorni dalla causale.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63"/>
        <w:gridCol w:w="1252"/>
        <w:gridCol w:w="3084"/>
        <w:gridCol w:w="1349"/>
        <w:gridCol w:w="1252"/>
        <w:gridCol w:w="1738"/>
      </w:tblGrid>
      <w:tr>
        <w:trPr>
          <w:tblHeader/>
        </w:trPr>
        <w:tc>
          <w:tcPr>
            <w:tcW w:type="dxa" w:w="963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Revisione n.</w:t>
            </w:r>
          </w:p>
        </w:tc>
        <w:tc>
          <w:tcPr>
            <w:tcW w:type="dxa" w:w="125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Data della causale</w:t>
            </w:r>
          </w:p>
        </w:tc>
        <w:tc>
          <w:tcPr>
            <w:tcW w:type="dxa" w:w="3084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Causale: processo · organizzazione · tecnica · infortunio · sorveglianza sanitaria</w:t>
            </w:r>
          </w:p>
        </w:tc>
        <w:tc>
          <w:tcPr>
            <w:tcW w:type="dxa" w:w="1349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Documento rielaborato il</w:t>
            </w:r>
          </w:p>
        </w:tc>
        <w:tc>
          <w:tcPr>
            <w:tcW w:type="dxa" w:w="1252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Comunicazione al RLS il</w:t>
            </w:r>
          </w:p>
        </w:tc>
        <w:tc>
          <w:tcPr>
            <w:tcW w:type="dxa" w:w="1738"/>
            <w:shd w:fill="01425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SaCellHeader"/>
            </w:pPr>
            <w:r>
              <w:t xml:space="preserve">A cura di</w:t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963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3084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34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252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1738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Note"/>
      </w:pPr>
      <w:r>
        <w:t xml:space="preserve">Il comma 3 aggiunge due obblighi che si dimenticano: dare immediata evidenza, con idonea documentazione, dell'aggiornamento delle misure di prevenzione, e darne immediata comunicazione al RLS — che accede a quella documentazione su richiesta. La colonna della comunicazione è lì per questo.</w:t>
      </w:r>
    </w:p>
    <w:p>
      <w:pPr>
        <w:pStyle w:val="SaH1"/>
      </w:pPr>
      <w:r>
        <w:t xml:space="preserve">11. Data certa e sottoscrizioni</w:t>
      </w:r>
    </w:p>
    <w:p>
      <w:pPr>
        <w:pStyle w:val="SaBasis"/>
      </w:pPr>
      <w:r>
        <w:t xml:space="preserve">— imposto dalla normativa</w:t>
      </w:r>
    </w:p>
    <w:p>
      <w:pPr>
        <w:pStyle w:val="SaBody"/>
      </w:pPr>
      <w:r>
        <w:rPr>
          <w:b w:val="false"/>
          <w:bCs w:val="false"/>
        </w:rPr>
        <w:t xml:space="preserve">Qui la firma non è una formalità. Il comma 2 dell'art. 28 chiede che il documento sia munito di data certa, oppure che la data sia attestata dalla sottoscrizione del datore di lavoro — e, ai soli fini della prova della data, da quella del RSPP, del RLS o RLST e del medico competente ove nominato.</w:t>
      </w:r>
    </w:p>
    <w:p>
      <w:pPr>
        <w:pStyle w:val="SaBody"/>
      </w:pPr>
      <w:r>
        <w:rPr>
          <w:b/>
          <w:bCs/>
        </w:rPr>
        <w:t xml:space="preserve">Le firme di RSPP, RLS e medico competente provano la data, non approvano il contenuto: la responsabilità resta del datore di lavoro, e l'art. 17 la rende non delegabile.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Il datore di lavoro</w:t>
            </w:r>
          </w:p>
          <w:p>
            <w:pPr>
              <w:pStyle w:val="SaHint"/>
            </w:pPr>
            <w:r>
              <w:t xml:space="preserve">Firma e data — attesta la data del documento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Il RSPP</w:t>
            </w:r>
          </w:p>
          <w:p>
            <w:pPr>
              <w:pStyle w:val="SaHint"/>
            </w:pPr>
            <w:r>
              <w:t xml:space="preserve">Ai soli fini della prova della data</w:t>
            </w:r>
          </w:p>
        </w:tc>
      </w:tr>
      <w:tr>
        <w:trPr>
          <w:trHeight w:val="1100" w:hRule="atLeast"/>
        </w:trPr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Il RLS o il RLST</w:t>
            </w:r>
          </w:p>
          <w:p>
            <w:pPr>
              <w:pStyle w:val="SaHint"/>
            </w:pPr>
            <w:r>
              <w:t xml:space="preserve">Ai soli fini della prova della data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40"/>
              <w:right w:type="dxa" w:w="160"/>
            </w:tcMar>
          </w:tcPr>
          <w:p>
            <w:pPr>
              <w:pStyle w:val="SaCell"/>
            </w:pPr>
            <w:r>
              <w:rPr>
                <w:b/>
                <w:bCs/>
              </w:rPr>
              <w:t xml:space="preserve">Il medico competente, ove nominato</w:t>
            </w:r>
          </w:p>
          <w:p>
            <w:pPr>
              <w:pStyle w:val="SaHint"/>
            </w:pPr>
            <w:r>
              <w:t xml:space="preserve">Ai soli fini della prova della data</w:t>
            </w:r>
          </w:p>
        </w:tc>
      </w:tr>
      <w:tr>
        <w:trPr>
          <w:trHeight w:val="1100" w:hRule="atLeast"/>
        </w:trPr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  <w:tc>
          <w:tcPr>
            <w:tcW w:type="dxa" w:w="4819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Cell"/>
            </w:pPr>
            <w:r>
              <w:t xml:space="preserve"/>
            </w:r>
          </w:p>
        </w:tc>
      </w:tr>
    </w:tbl>
    <w:p>
      <w:pPr>
        <w:pStyle w:val="SaChrome"/>
      </w:pP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pStyle w:val="SaCell"/>
            </w:pPr>
            <w:r>
              <w:rPr>
                <w:b/>
                <w:bCs/>
              </w:rPr>
              <w:t xml:space="preserve">Modalità di data certa utilizzata, in alternativa alle firme</w:t>
            </w:r>
          </w:p>
        </w:tc>
        <w:tc>
          <w:tcPr>
            <w:tcW w:type="dxa" w:w="6747"/>
            <w:tcBorders>
              <w:top w:val="single" w:color="BDE1F3" w:sz="4"/>
              <w:left w:val="single" w:color="BDE1F3" w:sz="4"/>
              <w:bottom w:val="single" w:color="BDE1F3" w:sz="4"/>
              <w:right w:val="single" w:color="BDE1F3" w:sz="4"/>
            </w:tcBorders>
            <w:shd w:fill="F0F8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SaHint"/>
            </w:pPr>
            <w:r>
              <w:t xml:space="preserve">[marca temporale, PEC a sé stessi, protocollo, altro — art. 28 co. 2 e art. 53]</w:t>
            </w:r>
          </w:p>
        </w:tc>
      </w:tr>
    </w:tbl>
    <w:p>
      <w:pPr>
        <w:pStyle w:val="SaChrome"/>
      </w:pPr>
    </w:p>
    <w:p>
      <w:pPr>
        <w:pStyle w:val="SaH2"/>
      </w:pPr>
      <w:r>
        <w:t xml:space="preserve">Fonti</w:t>
      </w:r>
    </w:p>
    <w:p>
      <w:pPr>
        <w:pStyle w:val="ListParagraph"/>
        <w:pStyle w:val="SaNote"/>
        <w:numPr>
          <w:ilvl w:val="0"/>
          <w:numId w:val="1"/>
        </w:numPr>
      </w:pPr>
      <w:r>
        <w:t xml:space="preserve">D.Lgs. 81/2008, art. 28 — oggetto della valutazione dei rischi — </w:t>
      </w:r>
      <w:hyperlink w:history="1" r:id="rIdugchjpcpjjb64ofrx4i-0">
        <w:r>
          <w:rPr>
            <w:color w:val="005674"/>
            <w:u w:val="single"/>
          </w:rPr>
          <w:t xml:space="preserve">https://www.normattiva.it/uri-res/N2Ls?urn:nir:stato:decreto.legislativo:2008-04-09;81~art28</w:t>
        </w:r>
      </w:hyperlink>
    </w:p>
    <w:p>
      <w:pPr>
        <w:pStyle w:val="ListParagraph"/>
        <w:pStyle w:val="SaNote"/>
        <w:numPr>
          <w:ilvl w:val="0"/>
          <w:numId w:val="1"/>
        </w:numPr>
      </w:pPr>
      <w:r>
        <w:t xml:space="preserve">D.Lgs. 81/2008, art. 29 — modalità di effettuazione della valutazione — </w:t>
      </w:r>
      <w:hyperlink w:history="1" r:id="rIdqekna5ayf5xr8h89_usdt">
        <w:r>
          <w:rPr>
            <w:color w:val="005674"/>
            <w:u w:val="single"/>
          </w:rPr>
          <w:t xml:space="preserve">https://www.normattiva.it/uri-res/N2Ls?urn:nir:stato:decreto.legislativo:2008-04-09;81~art29</w:t>
        </w:r>
      </w:hyperlink>
    </w:p>
    <w:p>
      <w:pPr>
        <w:pStyle w:val="SaNote"/>
      </w:pPr>
      <w:r>
        <w:rPr>
          <w:b w:val="false"/>
          <w:bCs w:val="false"/>
        </w:rPr>
        <w:t xml:space="preserve">Contenuto rivisto il 2026-09-08 · La pagina di questo modello — https://safeally.net/it-it/modelli/modello-dvr/</w:t>
      </w:r>
    </w:p>
    <w:p>
      <w:pPr>
        <w:pStyle w:val="SaNote"/>
      </w:pPr>
      <w:r>
        <w:rPr>
          <w:b w:val="false"/>
          <w:bCs w:val="false"/>
        </w:rPr>
        <w:t xml:space="preserve">SafeAlly — safeally.net · gratuito, senza account, documento modificabile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aChrome"/>
      <w:pBdr>
        <w:top w:val="single" w:color="BDE1F3" w:sz="4"/>
      </w:pBdr>
      <w:tabs>
        <w:tab w:val="right" w:pos="9638"/>
      </w:tabs>
    </w:pPr>
    <w:r>
      <w:t xml:space="preserve">Contenuto rivisto il 2026-09-08 · safeally.net</w:t>
    </w:r>
    <w:r>
      <w:t xml:space="preserve">	</w:t>
      <w:t xml:space="preserve">Pagina </w:t>
      <w:fldChar w:fldCharType="begin"/>
      <w:instrText xml:space="preserve">PAGE</w:instrText>
      <w:fldChar w:fldCharType="separate"/>
      <w:fldChar w:fldCharType="end"/>
    </w:r>
    <w:r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aChrome"/>
      <w:pBdr>
        <w:bottom w:val="single" w:color="BDE1F3" w:sz="4"/>
      </w:pBdr>
    </w:pPr>
    <w:r>
      <w:t xml:space="preserve">DVR — unità produttiva: …………………………………… — revisione n. 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1D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aTitle">
    <w:name w:val="SafeAlly Title"/>
    <w:basedOn w:val="Normal"/>
    <w:next w:val="SaSubtitle"/>
    <w:qFormat/>
    <w:pPr>
      <w:spacing w:after="60"/>
    </w:pPr>
    <w:rPr>
      <w:b/>
      <w:bCs/>
      <w:color w:val="014259"/>
      <w:sz w:val="32"/>
      <w:szCs w:val="32"/>
    </w:rPr>
  </w:style>
  <w:style w:type="paragraph" w:styleId="SaSubtitle">
    <w:name w:val="SafeAlly Subtitle"/>
    <w:basedOn w:val="Normal"/>
    <w:next w:val="SaBody"/>
    <w:qFormat/>
    <w:pPr>
      <w:pBdr>
        <w:bottom w:val="single" w:color="FFC250" w:sz="12"/>
      </w:pBdr>
      <w:spacing w:after="240"/>
    </w:pPr>
    <w:rPr>
      <w:color w:val="005674"/>
      <w:sz w:val="20"/>
      <w:szCs w:val="20"/>
    </w:rPr>
  </w:style>
  <w:style w:type="paragraph" w:styleId="SaH1">
    <w:name w:val="SafeAlly Heading 1"/>
    <w:basedOn w:val="Normal"/>
    <w:next w:val="SaBody"/>
    <w:qFormat/>
    <w:pPr>
      <w:keepNext/>
      <w:pBdr>
        <w:bottom w:val="single" w:color="BDE1F3" w:sz="6"/>
      </w:pBdr>
      <w:spacing w:after="40" w:before="320"/>
    </w:pPr>
    <w:rPr>
      <w:b/>
      <w:bCs/>
      <w:color w:val="014259"/>
      <w:sz w:val="24"/>
      <w:szCs w:val="24"/>
    </w:rPr>
  </w:style>
  <w:style w:type="paragraph" w:styleId="SaH2">
    <w:name w:val="SafeAlly Heading 2"/>
    <w:basedOn w:val="Normal"/>
    <w:next w:val="SaBody"/>
    <w:qFormat/>
    <w:pPr>
      <w:keepNext/>
      <w:spacing w:after="40" w:before="240"/>
    </w:pPr>
    <w:rPr>
      <w:b/>
      <w:bCs/>
      <w:color w:val="005674"/>
      <w:sz w:val="21"/>
      <w:szCs w:val="21"/>
    </w:rPr>
  </w:style>
  <w:style w:type="paragraph" w:styleId="SaBody">
    <w:name w:val="SafeAlly Body"/>
    <w:basedOn w:val="Normal"/>
    <w:next w:val="SaBody"/>
    <w:qFormat/>
    <w:pPr>
      <w:spacing w:after="120" w:line="264"/>
    </w:pPr>
    <w:rPr>
      <w:color w:val="021D28"/>
      <w:sz w:val="20"/>
      <w:szCs w:val="20"/>
    </w:rPr>
  </w:style>
  <w:style w:type="paragraph" w:styleId="SaBasis">
    <w:name w:val="SafeAlly Basis"/>
    <w:basedOn w:val="Normal"/>
    <w:next w:val="SaBody"/>
    <w:pPr>
      <w:keepNext/>
      <w:spacing w:after="140"/>
    </w:pPr>
    <w:rPr>
      <w:i/>
      <w:iCs/>
      <w:color w:val="005674"/>
      <w:sz w:val="16"/>
      <w:szCs w:val="16"/>
    </w:rPr>
  </w:style>
  <w:style w:type="paragraph" w:styleId="SaNote">
    <w:name w:val="SafeAlly Note"/>
    <w:basedOn w:val="Normal"/>
    <w:next w:val="SaBody"/>
    <w:pPr>
      <w:spacing w:after="160"/>
    </w:pPr>
    <w:rPr>
      <w:color w:val="053143"/>
      <w:sz w:val="16"/>
      <w:szCs w:val="16"/>
    </w:rPr>
  </w:style>
  <w:style w:type="paragraph" w:styleId="SaCell">
    <w:name w:val="SafeAlly Cell"/>
    <w:basedOn w:val="Normal"/>
    <w:next w:val="SaCell"/>
    <w:pPr>
      <w:spacing w:after="40" w:before="40"/>
    </w:pPr>
    <w:rPr>
      <w:color w:val="021D28"/>
      <w:sz w:val="19"/>
      <w:szCs w:val="19"/>
    </w:rPr>
  </w:style>
  <w:style w:type="paragraph" w:styleId="SaCellHeader">
    <w:name w:val="SafeAlly Cell Header"/>
    <w:basedOn w:val="Normal"/>
    <w:next w:val="SaCell"/>
    <w:pPr>
      <w:spacing w:after="60" w:before="60"/>
    </w:pPr>
    <w:rPr>
      <w:b/>
      <w:bCs/>
      <w:color w:val="FFFFFF"/>
      <w:sz w:val="18"/>
      <w:szCs w:val="18"/>
    </w:rPr>
  </w:style>
  <w:style w:type="paragraph" w:styleId="SaHint">
    <w:name w:val="SafeAlly Hint"/>
    <w:basedOn w:val="Normal"/>
    <w:next w:val="SaCell"/>
    <w:pPr>
      <w:spacing w:after="40" w:before="40"/>
    </w:pPr>
    <w:rPr>
      <w:i/>
      <w:iCs/>
      <w:color w:val="005674"/>
      <w:sz w:val="17"/>
      <w:szCs w:val="17"/>
    </w:rPr>
  </w:style>
  <w:style w:type="paragraph" w:styleId="SaChrome">
    <w:name w:val="SafeAlly Chrome"/>
    <w:basedOn w:val="Normal"/>
    <w:next w:val="SaChrome"/>
    <w:pPr>
      <w:spacing w:after="0"/>
    </w:pPr>
    <w:rPr>
      <w:color w:val="005674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gchjpcpjjb64ofrx4i-0" Type="http://schemas.openxmlformats.org/officeDocument/2006/relationships/hyperlink" Target="https://www.normattiva.it/uri-res/N2Ls?urn:nir:stato:decreto.legislativo:2008-04-09;81~art28" TargetMode="External"/><Relationship Id="rIdqekna5ayf5xr8h89_usdt" Type="http://schemas.openxmlformats.org/officeDocument/2006/relationships/hyperlink" Target="https://www.normattiva.it/uri-res/N2Ls?urn:nir:stato:decreto.legislativo:2008-04-09;81~art29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DVR — documento di valutazione dei rischi</dc:title>
  <dc:subject>Modello in bianco del documento di valutazione dei rischi ai sensi degli artt. 28 e 29 del D.Lgs. 81/2008 — Italia. SafeAlly, safeally.net.</dc:subject>
  <dc:creator>SafeAlly — safeally.net</dc:creator>
  <dc:description>Modello in bianco del documento di valutazione dei rischi ai sensi degli artt. 28 e 29 del D.Lgs. 81/2008 — Italia. SafeAlly, safeally.net.</dc:description>
  <cp:lastModifiedBy>SafeAlly — safeally.net</cp:lastModifiedBy>
  <cp:revision>1</cp:revision>
  <dcterms:created xsi:type="dcterms:W3CDTF">2026-09-08T00:00:00.000Z</dcterms:created>
  <dcterms:modified xsi:type="dcterms:W3CDTF">2026-09-08T00:00:00.000Z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