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Bericht zur Unfalluntersuchung</w:t>
      </w:r>
    </w:p>
    <w:p>
      <w:pPr>
        <w:pStyle w:val="SaSubtitle"/>
      </w:pPr>
      <w:r>
        <w:t xml:space="preserve">Deutschland — SGB VII und ArbSchG. Die Anzeigefristen stehen in Abschnitt 2.</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Was dieser Bericht nicht ist</w:t>
            </w:r>
          </w:p>
          <w:p>
            <w:pPr>
              <w:pStyle w:val="SaCell"/>
            </w:pPr>
            <w:r>
              <w:t xml:space="preserve">Keine Schuldsuche. Ein Bericht, der mit einem Namen endet, endet zu früh: die brauchbare Frage ist nicht, wer den Fehler gemacht hat, sondern warum der Fehler möglich war und warum ihn nichts aufgehalten hat. Er ist auch nicht die Unfallanzeige, die eine eigene Formalität mit eigener Frist ist — siehe Abschnitt 2. Keine Rechtsberatung.</w:t>
            </w:r>
          </w:p>
        </w:tc>
      </w:tr>
    </w:tbl>
    <w:p>
      <w:pPr>
        <w:pStyle w:val="SaChrome"/>
      </w:pPr>
    </w:p>
    <w:p>
      <w:pPr>
        <w:pStyle w:val="SaH1"/>
      </w:pPr>
      <w:r>
        <w:t xml:space="preserve">1. Identifikation</w:t>
      </w:r>
    </w:p>
    <w:p>
      <w:pPr>
        <w:pStyle w:val="SaBasis"/>
      </w:pPr>
      <w:r>
        <w:t xml:space="preserve">— betriebliche Praxis, nicht vorgeschrieben</w:t>
      </w:r>
    </w:p>
    <w:p>
      <w:pPr>
        <w:pStyle w:val="SaBody"/>
      </w:pPr>
      <w:r>
        <w:rPr>
          <w:b w:val="false"/>
          <w:bCs w:val="false"/>
        </w:rPr>
        <w:t xml:space="preserve">Diesen Abschnitt vor der Analyse ausfüllen, solange die Fakten frisch sind. Die Fristen in Abschnitt 2 zählen von Daten, die hier stehen.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Verletzte Person — Name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Tätigkeit und Dauer in dieser Tätigkeit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Status</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[Stammpersonal · befristet · Leiharbeit · Auszubildende · Fremdfirma]</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Datum und Uhrzeit des Unfalls</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Datum der Kenntnis des Arbeitgebers</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[von hier läuft die Dreitagesfrist]</w:t>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Genauer Ort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Tätigkeit im Unfallzeitpunkt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Zugehörige Tätigkeit der Gefährdungsbeurteilung</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Art der Verletzung</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Arbeitsunfähigkeit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[mehr als drei Tage? entscheidet die Anzeigepflicht]</w:t>
            </w:r>
          </w:p>
        </w:tc>
      </w:tr>
    </w:tbl>
    <w:p>
      <w:pPr>
        <w:pStyle w:val="SaChrome"/>
      </w:pPr>
    </w:p>
    <w:p>
      <w:pPr>
        <w:pStyle w:val="SaH1"/>
      </w:pPr>
      <w:r>
        <w:t xml:space="preserve">2. Die laufenden Fristen</w:t>
      </w:r>
    </w:p>
    <w:p>
      <w:pPr>
        <w:pStyle w:val="SaBasis"/>
      </w:pPr>
      <w:r>
        <w:t xml:space="preserve">— rechtlich vorgeschrieben</w:t>
      </w:r>
    </w:p>
    <w:p>
      <w:pPr>
        <w:pStyle w:val="SaBody"/>
      </w:pPr>
      <w:r>
        <w:rPr>
          <w:b w:val="false"/>
          <w:bCs w:val="false"/>
        </w:rPr>
        <w:t xml:space="preserve">Zwei Pflichten, die regelmäßig verwechselt werden: die Unfallanzeige an den Unfallversicherungsträger, die eine Frist hat und erst ab einer Schwelle greift, und die betriebliche Erfassung, die keine Frist hat und ab derselben Schwelle gilt. Beide stehen unten, mit ihrer jeweiligen Grundlage.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3276"/>
        <w:gridCol w:w="963"/>
        <w:gridCol w:w="2894"/>
      </w:tblGrid>
      <w:tr>
        <w:trPr>
          <w:tblHeader/>
        </w:trPr>
        <w:tc>
          <w:tcPr>
            <w:tcW w:type="dxa" w:w="2505"/>
            <w:shd w:fill="014259" w:color="auto" w:val="clear"/>
            <w:tcMar>
              <w:top w:type="dxa" w:w="60"/>
              <w:left w:type="dxa" w:w="100"/>
              <w:bottom w:type="dxa" w:w="60"/>
              <w:right w:type="dxa" w:w="100"/>
            </w:tcMar>
          </w:tcPr>
          <w:p>
            <w:pPr>
              <w:pStyle w:val="SaCellHeader"/>
            </w:pPr>
            <w:r>
              <w:t xml:space="preserve">Pflicht</w:t>
            </w:r>
          </w:p>
        </w:tc>
        <w:tc>
          <w:tcPr>
            <w:tcW w:type="dxa" w:w="3276"/>
            <w:shd w:fill="014259" w:color="auto" w:val="clear"/>
            <w:tcMar>
              <w:top w:type="dxa" w:w="60"/>
              <w:left w:type="dxa" w:w="100"/>
              <w:bottom w:type="dxa" w:w="60"/>
              <w:right w:type="dxa" w:w="100"/>
            </w:tcMar>
          </w:tcPr>
          <w:p>
            <w:pPr>
              <w:pStyle w:val="SaCellHeader"/>
            </w:pPr>
            <w:r>
              <w:t xml:space="preserve">An wen</w:t>
            </w:r>
          </w:p>
        </w:tc>
        <w:tc>
          <w:tcPr>
            <w:tcW w:type="dxa" w:w="963"/>
            <w:shd w:fill="014259" w:color="auto" w:val="clear"/>
            <w:tcMar>
              <w:top w:type="dxa" w:w="60"/>
              <w:left w:type="dxa" w:w="100"/>
              <w:bottom w:type="dxa" w:w="60"/>
              <w:right w:type="dxa" w:w="100"/>
            </w:tcMar>
          </w:tcPr>
          <w:p>
            <w:pPr>
              <w:pStyle w:val="SaCellHeader"/>
            </w:pPr>
            <w:r>
              <w:t xml:space="preserve">Frist</w:t>
            </w:r>
          </w:p>
        </w:tc>
        <w:tc>
          <w:tcPr>
            <w:tcW w:type="dxa" w:w="2894"/>
            <w:shd w:fill="014259" w:color="auto" w:val="clear"/>
            <w:tcMar>
              <w:top w:type="dxa" w:w="60"/>
              <w:left w:type="dxa" w:w="100"/>
              <w:bottom w:type="dxa" w:w="60"/>
              <w:right w:type="dxa" w:w="100"/>
            </w:tcMar>
          </w:tcPr>
          <w:p>
            <w:pPr>
              <w:pStyle w:val="SaCellHeader"/>
            </w:pPr>
            <w:r>
              <w:t xml:space="preserve">Grundlage</w:t>
            </w:r>
          </w:p>
        </w:tc>
      </w:tr>
      <w:tr>
        <w:tc>
          <w:tcPr>
            <w:tcW w:type="dxa" w:w="250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Unfallanzeige</w:t>
            </w:r>
          </w:p>
        </w:tc>
        <w:tc>
          <w:tcPr>
            <w:tcW w:type="dxa" w:w="327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Der zuständige Unfallversicherungsträger (Berufsgenossenschaft oder Unfallkasse)</w:t>
            </w:r>
          </w:p>
        </w:tc>
        <w:tc>
          <w:tcPr>
            <w:tcW w:type="dxa" w:w="96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3 j</w:t>
            </w:r>
          </w:p>
        </w:tc>
        <w:tc>
          <w:tcPr>
            <w:tcW w:type="dxa" w:w="28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SGB VII, § 193 Abs. 1 und Abs. 4</w:t>
            </w:r>
          </w:p>
        </w:tc>
      </w:tr>
      <w:tr>
        <w:tc>
          <w:tcPr>
            <w:tcW w:type="dxa" w:w="250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Betriebliche Erfassung des Unfalls</w:t>
            </w:r>
          </w:p>
        </w:tc>
        <w:tc>
          <w:tcPr>
            <w:tcW w:type="dxa" w:w="327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Die eigenen Unterlagen des Betriebs</w:t>
            </w:r>
          </w:p>
        </w:tc>
        <w:tc>
          <w:tcPr>
            <w:tcW w:type="dxa" w:w="96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t>
            </w:r>
          </w:p>
        </w:tc>
        <w:tc>
          <w:tcPr>
            <w:tcW w:type="dxa" w:w="28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ArbSchG, § 6 Abs. 2</w:t>
            </w:r>
          </w:p>
        </w:tc>
      </w:tr>
      <w:tr>
        <w:tc>
          <w:tcPr>
            <w:tcW w:type="dxa" w:w="250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Dokumentation der Erstversorgung</w:t>
            </w:r>
          </w:p>
        </w:tc>
        <w:tc>
          <w:tcPr>
            <w:tcW w:type="dxa" w:w="3276"/>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Das Verbandbuch oder ein gleichwertiger Nachweis</w:t>
            </w:r>
          </w:p>
        </w:tc>
        <w:tc>
          <w:tcPr>
            <w:tcW w:type="dxa" w:w="96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t>
            </w:r>
          </w:p>
        </w:tc>
        <w:tc>
          <w:tcPr>
            <w:tcW w:type="dxa" w:w="28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Regelwerk der Unfallversicherungsträger — keine Frist im ArbSchG</w:t>
            </w:r>
          </w:p>
        </w:tc>
      </w:tr>
    </w:tbl>
    <w:p>
      <w:pPr>
        <w:pStyle w:val="SaNote"/>
      </w:pPr>
      <w:r>
        <w:t xml:space="preserve">Die Anzeigepflicht greift erst ab der Schwelle: getötet, oder mehr als drei Tage arbeitsunfähig (§ 193 Abs. 1 SGB VII). Darunter ist keine Unfallanzeige zu erstatten — die Dokumentation der Erstversorgung im Verbandbuch bleibt davon unberührt und gilt auch für Bagatellverletzungen.</w:t>
      </w:r>
    </w:p>
    <w:p>
      <w:pPr>
        <w:pStyle w:val="SaNote"/>
      </w:pPr>
      <w:r>
        <w:rPr>
          <w:b w:val="false"/>
          <w:bCs w:val="false"/>
        </w:rPr>
        <w:t xml:space="preserve">Diese Fristen betreffen die Anzeige, nicht die Untersuchung. Für die Ursachenanalyse nennt das ArbSchG keine Frist — die Maßnahmen und das Ergebnis ihrer Überprüfung gehören aber nach § 6 Abs. 1 in die Unterlagen zur Gefährdungsbeurteilung, und eine um drei Wochen verschobene Analyse findet nicht mehr statt. Fristen des Verletztengeldes, des Wiedereingliederungsmanagements und der Berufskrankheitenanzeige sind hier nicht abgebildet.</w:t>
      </w:r>
    </w:p>
    <w:p>
      <w:r>
        <w:br w:type="page"/>
      </w:r>
    </w:p>
    <w:p>
      <w:pPr>
        <w:pStyle w:val="SaH1"/>
      </w:pPr>
      <w:r>
        <w:t xml:space="preserve">3. Ablauf der Ereignisse</w:t>
      </w:r>
    </w:p>
    <w:p>
      <w:pPr>
        <w:pStyle w:val="SaBasis"/>
      </w:pPr>
      <w:r>
        <w:t xml:space="preserve">— betriebliche Praxis, nicht vorgeschrieben</w:t>
      </w:r>
    </w:p>
    <w:p>
      <w:pPr>
        <w:pStyle w:val="SaBody"/>
      </w:pPr>
      <w:r>
        <w:rPr>
          <w:b w:val="false"/>
          <w:bCs w:val="false"/>
        </w:rPr>
        <w:t xml:space="preserve">Eine Zeile je Fakt, in der Reihenfolge, und nur Fakten. „Der Mitarbeiter war in Eile“ ist kein Fakt; „der Mitarbeiter griff nach dem Werkstück, bevor der Tisch stillstand“ ist einer. Diese Disziplin macht die Ursachenanalyse danach überhaupt möglich.</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867"/>
        <w:gridCol w:w="4240"/>
        <w:gridCol w:w="2313"/>
        <w:gridCol w:w="1737"/>
      </w:tblGrid>
      <w:tr>
        <w:trPr>
          <w:tblHeader/>
        </w:trPr>
        <w:tc>
          <w:tcPr>
            <w:tcW w:type="dxa" w:w="481"/>
            <w:shd w:fill="014259" w:color="auto" w:val="clear"/>
            <w:tcMar>
              <w:top w:type="dxa" w:w="60"/>
              <w:left w:type="dxa" w:w="100"/>
              <w:bottom w:type="dxa" w:w="60"/>
              <w:right w:type="dxa" w:w="100"/>
            </w:tcMar>
          </w:tcPr>
          <w:p>
            <w:pPr>
              <w:pStyle w:val="SaCellHeader"/>
            </w:pPr>
            <w:r>
              <w:t xml:space="preserve">Nr.</w:t>
            </w:r>
          </w:p>
        </w:tc>
        <w:tc>
          <w:tcPr>
            <w:tcW w:type="dxa" w:w="867"/>
            <w:shd w:fill="014259" w:color="auto" w:val="clear"/>
            <w:tcMar>
              <w:top w:type="dxa" w:w="60"/>
              <w:left w:type="dxa" w:w="100"/>
              <w:bottom w:type="dxa" w:w="60"/>
              <w:right w:type="dxa" w:w="100"/>
            </w:tcMar>
          </w:tcPr>
          <w:p>
            <w:pPr>
              <w:pStyle w:val="SaCellHeader"/>
            </w:pPr>
            <w:r>
              <w:t xml:space="preserve">Zeit</w:t>
            </w:r>
          </w:p>
        </w:tc>
        <w:tc>
          <w:tcPr>
            <w:tcW w:type="dxa" w:w="4240"/>
            <w:shd w:fill="014259" w:color="auto" w:val="clear"/>
            <w:tcMar>
              <w:top w:type="dxa" w:w="60"/>
              <w:left w:type="dxa" w:w="100"/>
              <w:bottom w:type="dxa" w:w="60"/>
              <w:right w:type="dxa" w:w="100"/>
            </w:tcMar>
          </w:tcPr>
          <w:p>
            <w:pPr>
              <w:pStyle w:val="SaCellHeader"/>
            </w:pPr>
            <w:r>
              <w:t xml:space="preserve">Festgestellter Sachverhalt</w:t>
            </w:r>
          </w:p>
        </w:tc>
        <w:tc>
          <w:tcPr>
            <w:tcW w:type="dxa" w:w="2313"/>
            <w:shd w:fill="014259" w:color="auto" w:val="clear"/>
            <w:tcMar>
              <w:top w:type="dxa" w:w="60"/>
              <w:left w:type="dxa" w:w="100"/>
              <w:bottom w:type="dxa" w:w="60"/>
              <w:right w:type="dxa" w:w="100"/>
            </w:tcMar>
          </w:tcPr>
          <w:p>
            <w:pPr>
              <w:pStyle w:val="SaCellHeader"/>
            </w:pPr>
            <w:r>
              <w:t xml:space="preserve">Wie belegt</w:t>
            </w:r>
          </w:p>
        </w:tc>
        <w:tc>
          <w:tcPr>
            <w:tcW w:type="dxa" w:w="1737"/>
            <w:shd w:fill="014259" w:color="auto" w:val="clear"/>
            <w:tcMar>
              <w:top w:type="dxa" w:w="60"/>
              <w:left w:type="dxa" w:w="100"/>
              <w:bottom w:type="dxa" w:w="60"/>
              <w:right w:type="dxa" w:w="100"/>
            </w:tcMar>
          </w:tcPr>
          <w:p>
            <w:pPr>
              <w:pStyle w:val="SaCellHeader"/>
            </w:pPr>
            <w:r>
              <w:t xml:space="preserve">Quelle</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24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Die Spalte „wie belegt“ trennt Gesehenes von Erzähltem. Ein Jahr später ist sie die einzige Spalte, die zeigt, was der Bericht tatsächlich wusste.</w:t>
      </w:r>
    </w:p>
    <w:p>
      <w:pPr>
        <w:pStyle w:val="SaH1"/>
      </w:pPr>
      <w:r>
        <w:t xml:space="preserve">4. Anwesende und Zeugen</w:t>
      </w:r>
    </w:p>
    <w:p>
      <w:pPr>
        <w:pStyle w:val="SaBasis"/>
      </w:pPr>
      <w:r>
        <w:t xml:space="preserve">— betriebliche Praxis, nicht vorgeschrieben</w:t>
      </w:r>
    </w:p>
    <w:p>
      <w:pPr>
        <w:pStyle w:val="SaBody"/>
      </w:pPr>
      <w:r>
        <w:rPr>
          <w:b w:val="false"/>
          <w:bCs w:val="false"/>
        </w:rPr>
        <w:t xml:space="preserve">Namen sofort. Eine Zeugin, die drei Wochen später gefunden wird, hat ihre Erinnerung längst rekonstruiert, und eine Leiharbeitskraft ist vielleicht nicht mehr im Betrieb.</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1927"/>
        <w:gridCol w:w="1734"/>
        <w:gridCol w:w="1927"/>
        <w:gridCol w:w="1156"/>
        <w:gridCol w:w="2894"/>
      </w:tblGrid>
      <w:tr>
        <w:trPr>
          <w:tblHeader/>
        </w:trPr>
        <w:tc>
          <w:tcPr>
            <w:tcW w:type="dxa" w:w="1927"/>
            <w:shd w:fill="014259" w:color="auto" w:val="clear"/>
            <w:tcMar>
              <w:top w:type="dxa" w:w="60"/>
              <w:left w:type="dxa" w:w="100"/>
              <w:bottom w:type="dxa" w:w="60"/>
              <w:right w:type="dxa" w:w="100"/>
            </w:tcMar>
          </w:tcPr>
          <w:p>
            <w:pPr>
              <w:pStyle w:val="SaCellHeader"/>
            </w:pPr>
            <w:r>
              <w:t xml:space="preserve">Name</w:t>
            </w:r>
          </w:p>
        </w:tc>
        <w:tc>
          <w:tcPr>
            <w:tcW w:type="dxa" w:w="1734"/>
            <w:shd w:fill="014259" w:color="auto" w:val="clear"/>
            <w:tcMar>
              <w:top w:type="dxa" w:w="60"/>
              <w:left w:type="dxa" w:w="100"/>
              <w:bottom w:type="dxa" w:w="60"/>
              <w:right w:type="dxa" w:w="100"/>
            </w:tcMar>
          </w:tcPr>
          <w:p>
            <w:pPr>
              <w:pStyle w:val="SaCellHeader"/>
            </w:pPr>
            <w:r>
              <w:t xml:space="preserve">Funktion</w:t>
            </w:r>
          </w:p>
        </w:tc>
        <w:tc>
          <w:tcPr>
            <w:tcW w:type="dxa" w:w="1927"/>
            <w:shd w:fill="014259" w:color="auto" w:val="clear"/>
            <w:tcMar>
              <w:top w:type="dxa" w:w="60"/>
              <w:left w:type="dxa" w:w="100"/>
              <w:bottom w:type="dxa" w:w="60"/>
              <w:right w:type="dxa" w:w="100"/>
            </w:tcMar>
          </w:tcPr>
          <w:p>
            <w:pPr>
              <w:pStyle w:val="SaCellHeader"/>
            </w:pPr>
            <w:r>
              <w:t xml:space="preserve">Anwesend / Zeuge / Ersthelfer</w:t>
            </w:r>
          </w:p>
        </w:tc>
        <w:tc>
          <w:tcPr>
            <w:tcW w:type="dxa" w:w="1156"/>
            <w:shd w:fill="014259" w:color="auto" w:val="clear"/>
            <w:tcMar>
              <w:top w:type="dxa" w:w="60"/>
              <w:left w:type="dxa" w:w="100"/>
              <w:bottom w:type="dxa" w:w="60"/>
              <w:right w:type="dxa" w:w="100"/>
            </w:tcMar>
          </w:tcPr>
          <w:p>
            <w:pPr>
              <w:pStyle w:val="SaCellHeader"/>
            </w:pPr>
            <w:r>
              <w:t xml:space="preserve">Befragt am</w:t>
            </w:r>
          </w:p>
        </w:tc>
        <w:tc>
          <w:tcPr>
            <w:tcW w:type="dxa" w:w="2894"/>
            <w:shd w:fill="014259" w:color="auto" w:val="clear"/>
            <w:tcMar>
              <w:top w:type="dxa" w:w="60"/>
              <w:left w:type="dxa" w:w="100"/>
              <w:bottom w:type="dxa" w:w="60"/>
              <w:right w:type="dxa" w:w="100"/>
            </w:tcMar>
          </w:tcPr>
          <w:p>
            <w:pPr>
              <w:pStyle w:val="SaCellHeader"/>
            </w:pPr>
            <w:r>
              <w:t xml:space="preserve">Bemerkungen</w:t>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r>
        <w:br w:type="page"/>
      </w:r>
    </w:p>
    <w:p>
      <w:pPr>
        <w:pStyle w:val="SaH1"/>
      </w:pPr>
      <w:r>
        <w:t xml:space="preserve">5. Ursachenanalyse</w:t>
      </w:r>
    </w:p>
    <w:p>
      <w:pPr>
        <w:pStyle w:val="SaBasis"/>
      </w:pPr>
      <w:r>
        <w:t xml:space="preserve">— betriebliche Praxis, nicht vorgeschrieben</w:t>
      </w:r>
    </w:p>
    <w:p>
      <w:pPr>
        <w:pStyle w:val="SaBody"/>
      </w:pPr>
      <w:r>
        <w:rPr>
          <w:b w:val="false"/>
          <w:bCs w:val="false"/>
        </w:rPr>
        <w:t xml:space="preserve">Die Frage, die weiterführt, ist nicht „wer“, sondern „was musste zusammenkommen“. Oft genug gestellt, führt sie vom Griff der Person zur Organisation — und § 4 Nr. 2 ArbSchG verlangt genau das: Gefahren an ihrer Quelle zu bekämpfen.</w:t>
      </w:r>
    </w:p>
    <w:p>
      <w:pPr>
        <w:pStyle w:val="SaBody"/>
      </w:pPr>
      <w:r>
        <w:rPr>
          <w:b/>
          <w:bCs/>
        </w:rPr>
        <w:t xml:space="preserve">Eine Ursache, die man nicht ändern kann, ist keine brauchbare Ursache. „Unaufmerksamkeit“ lässt sich nicht abstellen; „kein Halt in Reichweite des Bedienplatzes“ lässt sich abstellen.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
        <w:gridCol w:w="2891"/>
        <w:gridCol w:w="2313"/>
        <w:gridCol w:w="2505"/>
        <w:gridCol w:w="1448"/>
      </w:tblGrid>
      <w:tr>
        <w:trPr>
          <w:tblHeader/>
        </w:trPr>
        <w:tc>
          <w:tcPr>
            <w:tcW w:type="dxa" w:w="481"/>
            <w:shd w:fill="014259" w:color="auto" w:val="clear"/>
            <w:tcMar>
              <w:top w:type="dxa" w:w="60"/>
              <w:left w:type="dxa" w:w="100"/>
              <w:bottom w:type="dxa" w:w="60"/>
              <w:right w:type="dxa" w:w="100"/>
            </w:tcMar>
          </w:tcPr>
          <w:p>
            <w:pPr>
              <w:pStyle w:val="SaCellHeader"/>
            </w:pPr>
            <w:r>
              <w:t xml:space="preserve">Nr.</w:t>
            </w:r>
          </w:p>
        </w:tc>
        <w:tc>
          <w:tcPr>
            <w:tcW w:type="dxa" w:w="2891"/>
            <w:shd w:fill="014259" w:color="auto" w:val="clear"/>
            <w:tcMar>
              <w:top w:type="dxa" w:w="60"/>
              <w:left w:type="dxa" w:w="100"/>
              <w:bottom w:type="dxa" w:w="60"/>
              <w:right w:type="dxa" w:w="100"/>
            </w:tcMar>
          </w:tcPr>
          <w:p>
            <w:pPr>
              <w:pStyle w:val="SaCellHeader"/>
            </w:pPr>
            <w:r>
              <w:t xml:space="preserve">Ursache</w:t>
            </w:r>
          </w:p>
        </w:tc>
        <w:tc>
          <w:tcPr>
            <w:tcW w:type="dxa" w:w="2313"/>
            <w:shd w:fill="014259" w:color="auto" w:val="clear"/>
            <w:tcMar>
              <w:top w:type="dxa" w:w="60"/>
              <w:left w:type="dxa" w:w="100"/>
              <w:bottom w:type="dxa" w:w="60"/>
              <w:right w:type="dxa" w:w="100"/>
            </w:tcMar>
          </w:tcPr>
          <w:p>
            <w:pPr>
              <w:pStyle w:val="SaCellHeader"/>
            </w:pPr>
            <w:r>
              <w:t xml:space="preserve">Ebene: technisch · organisatorisch · personenbezogen · Führung</w:t>
            </w:r>
          </w:p>
        </w:tc>
        <w:tc>
          <w:tcPr>
            <w:tcW w:type="dxa" w:w="2505"/>
            <w:shd w:fill="014259" w:color="auto" w:val="clear"/>
            <w:tcMar>
              <w:top w:type="dxa" w:w="60"/>
              <w:left w:type="dxa" w:w="100"/>
              <w:bottom w:type="dxa" w:w="60"/>
              <w:right w:type="dxa" w:w="100"/>
            </w:tcMar>
          </w:tcPr>
          <w:p>
            <w:pPr>
              <w:pStyle w:val="SaCellHeader"/>
            </w:pPr>
            <w:r>
              <w:t xml:space="preserve">Was es verhindert hätte</w:t>
            </w:r>
          </w:p>
        </w:tc>
        <w:tc>
          <w:tcPr>
            <w:tcW w:type="dxa" w:w="1448"/>
            <w:shd w:fill="014259" w:color="auto" w:val="clear"/>
            <w:tcMar>
              <w:top w:type="dxa" w:w="60"/>
              <w:left w:type="dxa" w:w="100"/>
              <w:bottom w:type="dxa" w:w="60"/>
              <w:right w:type="dxa" w:w="100"/>
            </w:tcMar>
          </w:tcPr>
          <w:p>
            <w:pPr>
              <w:pStyle w:val="SaCellHeader"/>
            </w:pPr>
            <w:r>
              <w:t xml:space="preserve">Stand in der GB?</w:t>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8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Die letzte Spalte stellt die Verbindung zur Prävention her: eine bereits beurteilte und unbehandelte Gefährdung ist eine ganz andere Information als eine neu entdeckte.</w:t>
      </w:r>
    </w:p>
    <w:p>
      <w:pPr>
        <w:pStyle w:val="SaH1"/>
      </w:pPr>
      <w:r>
        <w:t xml:space="preserve">6. Festgelegte Maßnahmen</w:t>
      </w:r>
    </w:p>
    <w:p>
      <w:pPr>
        <w:pStyle w:val="SaBasis"/>
      </w:pPr>
      <w:r>
        <w:t xml:space="preserve">— rechtlich vorgeschrieben</w:t>
      </w:r>
    </w:p>
    <w:p>
      <w:pPr>
        <w:pStyle w:val="SaBody"/>
      </w:pPr>
      <w:r>
        <w:rPr>
          <w:b w:val="false"/>
          <w:bCs w:val="false"/>
        </w:rPr>
        <w:t xml:space="preserve">Die entschiedenen Maßnahmen und das Ergebnis ihrer Überprüfung gehören nach § 6 Abs. 1 ArbSchG in die Unterlagen zur Gefährdungsbeurteilung. Ein Unfall ist außerdem eine Information, die die Beurteilung fortschreiben lässt — die betroffene Tätigkeit wird also überarbeitet, nicht nur die Maßnahme notiert.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645"/>
        <w:gridCol w:w="1133"/>
        <w:gridCol w:w="2078"/>
        <w:gridCol w:w="1322"/>
        <w:gridCol w:w="1133"/>
        <w:gridCol w:w="1327"/>
      </w:tblGrid>
      <w:tr>
        <w:trPr>
          <w:tblHeader/>
        </w:trPr>
        <w:tc>
          <w:tcPr>
            <w:tcW w:type="dxa" w:w="2645"/>
            <w:shd w:fill="014259" w:color="auto" w:val="clear"/>
            <w:tcMar>
              <w:top w:type="dxa" w:w="60"/>
              <w:left w:type="dxa" w:w="100"/>
              <w:bottom w:type="dxa" w:w="60"/>
              <w:right w:type="dxa" w:w="100"/>
            </w:tcMar>
          </w:tcPr>
          <w:p>
            <w:pPr>
              <w:pStyle w:val="SaCellHeader"/>
            </w:pPr>
            <w:r>
              <w:t xml:space="preserve">Maßnahme</w:t>
            </w:r>
          </w:p>
        </w:tc>
        <w:tc>
          <w:tcPr>
            <w:tcW w:type="dxa" w:w="1133"/>
            <w:shd w:fill="014259" w:color="auto" w:val="clear"/>
            <w:tcMar>
              <w:top w:type="dxa" w:w="60"/>
              <w:left w:type="dxa" w:w="100"/>
              <w:bottom w:type="dxa" w:w="60"/>
              <w:right w:type="dxa" w:w="100"/>
            </w:tcMar>
          </w:tcPr>
          <w:p>
            <w:pPr>
              <w:pStyle w:val="SaCellHeader"/>
            </w:pPr>
            <w:r>
              <w:t xml:space="preserve">Behandelte Ursache (Nr.)</w:t>
            </w:r>
          </w:p>
        </w:tc>
        <w:tc>
          <w:tcPr>
            <w:tcW w:type="dxa" w:w="2078"/>
            <w:shd w:fill="014259" w:color="auto" w:val="clear"/>
            <w:tcMar>
              <w:top w:type="dxa" w:w="60"/>
              <w:left w:type="dxa" w:w="100"/>
              <w:bottom w:type="dxa" w:w="60"/>
              <w:right w:type="dxa" w:w="100"/>
            </w:tcMar>
          </w:tcPr>
          <w:p>
            <w:pPr>
              <w:pStyle w:val="SaCellHeader"/>
            </w:pPr>
            <w:r>
              <w:t xml:space="preserve">Rangfolge: Beseitigung · technisch · organisatorisch · PSA</w:t>
            </w:r>
          </w:p>
        </w:tc>
        <w:tc>
          <w:tcPr>
            <w:tcW w:type="dxa" w:w="1322"/>
            <w:shd w:fill="014259" w:color="auto" w:val="clear"/>
            <w:tcMar>
              <w:top w:type="dxa" w:w="60"/>
              <w:left w:type="dxa" w:w="100"/>
              <w:bottom w:type="dxa" w:w="60"/>
              <w:right w:type="dxa" w:w="100"/>
            </w:tcMar>
          </w:tcPr>
          <w:p>
            <w:pPr>
              <w:pStyle w:val="SaCellHeader"/>
            </w:pPr>
            <w:r>
              <w:t xml:space="preserve">Verantwortlich</w:t>
            </w:r>
          </w:p>
        </w:tc>
        <w:tc>
          <w:tcPr>
            <w:tcW w:type="dxa" w:w="1133"/>
            <w:shd w:fill="014259" w:color="auto" w:val="clear"/>
            <w:tcMar>
              <w:top w:type="dxa" w:w="60"/>
              <w:left w:type="dxa" w:w="100"/>
              <w:bottom w:type="dxa" w:w="60"/>
              <w:right w:type="dxa" w:w="100"/>
            </w:tcMar>
          </w:tcPr>
          <w:p>
            <w:pPr>
              <w:pStyle w:val="SaCellHeader"/>
            </w:pPr>
            <w:r>
              <w:t xml:space="preserve">Termin</w:t>
            </w:r>
          </w:p>
        </w:tc>
        <w:tc>
          <w:tcPr>
            <w:tcW w:type="dxa" w:w="1327"/>
            <w:shd w:fill="014259" w:color="auto" w:val="clear"/>
            <w:tcMar>
              <w:top w:type="dxa" w:w="60"/>
              <w:left w:type="dxa" w:w="100"/>
              <w:bottom w:type="dxa" w:w="60"/>
              <w:right w:type="dxa" w:w="100"/>
            </w:tcMar>
          </w:tcPr>
          <w:p>
            <w:pPr>
              <w:pStyle w:val="SaCellHeader"/>
            </w:pPr>
            <w:r>
              <w:t xml:space="preserve">In GB übernommen am</w:t>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64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0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3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Nachverfolgung und Abschluss</w:t>
      </w:r>
    </w:p>
    <w:p>
      <w:pPr>
        <w:pStyle w:val="SaBasis"/>
      </w:pPr>
      <w:r>
        <w:t xml:space="preserve">— rechtlich vorgeschrieben</w:t>
      </w:r>
    </w:p>
    <w:p>
      <w:pPr>
        <w:pStyle w:val="SaBody"/>
      </w:pPr>
      <w:r>
        <w:rPr>
          <w:b w:val="false"/>
          <w:bCs w:val="false"/>
        </w:rPr>
        <w:t xml:space="preserve">Eine Untersuchung ist abgeschlossen, wenn die Maßnahmen umgesetzt und überprüft sind — nicht wenn der Bericht geschrieben ist. Zwei verschiedene Daten, und das zweite zählt.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00"/>
        <w:gridCol w:w="9238"/>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Unfallanzeige erstattet, wenn die Schwelle erreicht ist.</w:t>
            </w:r>
          </w:p>
          <w:p>
            <w:pPr>
              <w:pStyle w:val="SaHint"/>
            </w:pPr>
            <w:r>
              <w:t xml:space="preserve">§ 193 Abs. 1 und 4 SGB VII: getötet oder mehr als drei Tage arbeitsunfähig, binnen drei Tagen.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Unfall betrieblich erfasst.</w:t>
            </w:r>
          </w:p>
          <w:p>
            <w:pPr>
              <w:pStyle w:val="SaHint"/>
            </w:pPr>
            <w:r>
              <w:t xml:space="preserve">§ 6 Abs. 2 ArbSchG.</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Erstversorgung im Verbandbuch dokumentiert.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Betriebsarzt und Fachkraft für Arbeitssicherheit einbezogen.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Betriebs- oder Personalrat informiert.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Unterlagen zur Gefährdungsbeurteilung fortgeschrieben.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Sofortmaßnahmen vor Wiederaufnahme der Tätigkeit umgesetzt.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238"/>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Wirksamkeit der Maßnahmen zu einem festgelegten Termin überprüft.</w:t>
            </w:r>
          </w:p>
        </w:tc>
      </w:tr>
    </w:tbl>
    <w:p>
      <w:pPr>
        <w:pStyle w:val="SaChrome"/>
      </w:pPr>
    </w:p>
    <w:p>
      <w:pPr>
        <w:pStyle w:val="SaH1"/>
      </w:pPr>
      <w:r>
        <w:t xml:space="preserve">8. Unterschriften</w:t>
      </w:r>
    </w:p>
    <w:p>
      <w:pPr>
        <w:pStyle w:val="SaBasis"/>
      </w:pPr>
      <w:r>
        <w:t xml:space="preserve">— betriebliche Praxis, nicht vorgeschrieben</w:t>
      </w:r>
    </w:p>
    <w:p>
      <w:pPr>
        <w:pStyle w:val="SaBody"/>
      </w:pPr>
      <w:r>
        <w:rPr>
          <w:b w:val="false"/>
          <w:bCs w:val="false"/>
        </w:rPr>
        <w:t xml:space="preserve">Die Unterschrift belegt, dass die Untersuchung so geführt wurde und dass dies die Schlussfolgerungen sind. Sie weist keine Verantwortlichkeit zu.</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3212"/>
        <w:gridCol w:w="3212"/>
        <w:gridCol w:w="3214"/>
      </w:tblGrid>
      <w:tr>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Arbeitgeber oder verantwortliche Führungskraft</w:t>
            </w:r>
          </w:p>
          <w:p>
            <w:pPr>
              <w:pStyle w:val="SaHint"/>
            </w:pPr>
            <w:r>
              <w:t xml:space="preserve">Name, Funktion, Datum</w:t>
            </w:r>
          </w:p>
        </w:tc>
        <w:tc>
          <w:tcPr>
            <w:tcW w:type="dxa" w:w="3212"/>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Untersuchende Person</w:t>
            </w:r>
          </w:p>
          <w:p>
            <w:pPr>
              <w:pStyle w:val="SaHint"/>
            </w:pPr>
            <w:r>
              <w:t xml:space="preserve">Name, Funktion, Datum</w:t>
            </w:r>
          </w:p>
        </w:tc>
        <w:tc>
          <w:tcPr>
            <w:tcW w:type="dxa" w:w="321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Betriebs- oder Personalrat</w:t>
            </w:r>
          </w:p>
          <w:p>
            <w:pPr>
              <w:pStyle w:val="SaHint"/>
            </w:pPr>
            <w:r>
              <w:t xml:space="preserve">Kenntnisnahme, Datum</w:t>
            </w:r>
          </w:p>
        </w:tc>
      </w:tr>
      <w:tr>
        <w:trPr>
          <w:trHeight w:val="1100" w:hRule="atLeast"/>
        </w:trPr>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2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Quellen</w:t>
      </w:r>
    </w:p>
    <w:p>
      <w:pPr>
        <w:pStyle w:val="ListParagraph"/>
        <w:pStyle w:val="SaNote"/>
        <w:numPr>
          <w:ilvl w:val="0"/>
          <w:numId w:val="1"/>
        </w:numPr>
      </w:pPr>
      <w:r>
        <w:t xml:space="preserve">SGB VII § 193 — Anzeigepflicht des Unternehmers — </w:t>
      </w:r>
      <w:hyperlink w:history="1" r:id="rIdugchjpcpjjb64ofrx4i-0">
        <w:r>
          <w:rPr>
            <w:color w:val="005674"/>
            <w:u w:val="single"/>
          </w:rPr>
          <w:t xml:space="preserve">https://www.gesetze-im-internet.de/sgb_7/__193.html</w:t>
        </w:r>
      </w:hyperlink>
    </w:p>
    <w:p>
      <w:pPr>
        <w:pStyle w:val="ListParagraph"/>
        <w:pStyle w:val="SaNote"/>
        <w:numPr>
          <w:ilvl w:val="0"/>
          <w:numId w:val="1"/>
        </w:numPr>
      </w:pPr>
      <w:r>
        <w:t xml:space="preserve">ArbSchG § 6 — Dokumentation und Erfassung von Unfällen — </w:t>
      </w:r>
      <w:hyperlink w:history="1" r:id="rIdqekna5ayf5xr8h89_usdt">
        <w:r>
          <w:rPr>
            <w:color w:val="005674"/>
            <w:u w:val="single"/>
          </w:rPr>
          <w:t xml:space="preserve">https://www.gesetze-im-internet.de/arbschg/__6.html</w:t>
        </w:r>
      </w:hyperlink>
    </w:p>
    <w:p>
      <w:pPr>
        <w:pStyle w:val="ListParagraph"/>
        <w:pStyle w:val="SaNote"/>
        <w:numPr>
          <w:ilvl w:val="0"/>
          <w:numId w:val="1"/>
        </w:numPr>
      </w:pPr>
      <w:r>
        <w:t xml:space="preserve">ArbSchG § 4 — allgemeine Grundsätze — </w:t>
      </w:r>
      <w:hyperlink w:history="1" r:id="rIdz97ta7ypds1d5okqjne6s">
        <w:r>
          <w:rPr>
            <w:color w:val="005674"/>
            <w:u w:val="single"/>
          </w:rPr>
          <w:t xml:space="preserve">https://www.gesetze-im-internet.de/arbschg/__4.html</w:t>
        </w:r>
      </w:hyperlink>
    </w:p>
    <w:p>
      <w:pPr>
        <w:pStyle w:val="SaNote"/>
      </w:pPr>
      <w:r>
        <w:rPr>
          <w:b w:val="false"/>
          <w:bCs w:val="false"/>
        </w:rPr>
        <w:t xml:space="preserve">Inhalt zuletzt geprüft am 2026-09-08 · Die Seite zu dieser Vorlage — https://safeally.net/de-de/vorlagen/unfalluntersuchungsbericht/</w:t>
      </w:r>
    </w:p>
    <w:p>
      <w:pPr>
        <w:pStyle w:val="SaNote"/>
      </w:pPr>
      <w:r>
        <w:rPr>
          <w:b w:val="false"/>
          <w:bCs w:val="false"/>
        </w:rPr>
        <w:t xml:space="preserve">SafeAlly — safeally.net · kostenlos, ohne Konto, bearbeitbares Dokument</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Inhalt zuletzt geprüft am 2026-09-08 · safeally.net</w:t>
    </w:r>
    <w:r>
      <w:t xml:space="preserve">	</w:t>
      <w:t xml:space="preserve">Seite </w:t>
      <w:fldChar w:fldCharType="begin"/>
      <w:instrText xml:space="preserve">PAGE</w:instrText>
      <w:fldChar w:fldCharType="separate"/>
      <w:fldChar w:fldCharType="end"/>
    </w:r>
    <w:r>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Unfalluntersuchung — Nr. …………… — Unfall am ……/……/……… um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gesetze-im-internet.de/sgb_7/__193.html" TargetMode="External"/><Relationship Id="rIdqekna5ayf5xr8h89_usdt" Type="http://schemas.openxmlformats.org/officeDocument/2006/relationships/hyperlink" Target="https://www.gesetze-im-internet.de/arbschg/__6.html" TargetMode="External"/><Relationship Id="rIdz97ta7ypds1d5okqjne6s" Type="http://schemas.openxmlformats.org/officeDocument/2006/relationships/hyperlink" Target="https://www.gesetze-im-internet.de/arbschg/__4.html"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Bericht zur Unfalluntersuchung</dc:title>
  <dc:subject>Blanko-Bericht zur Untersuchung eines Arbeitsunfalls — Deutschland. SafeAlly, safeally.net.</dc:subject>
  <dc:creator>SafeAlly — safeally.net</dc:creator>
  <dc:description>Blanko-Bericht zur Untersuchung eines Arbeitsunfalls — Deutschland.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