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Incident investigation report</w:t>
      </w:r>
    </w:p>
    <w:p>
      <w:pPr>
        <w:pStyle w:val="SaSubtitle"/>
      </w:pPr>
      <w:r>
        <w:t xml:space="preserve">Canada — British Columbia puts deadlines on the investigation itself; Ontario's clocks are notification clocks. Section 2.</w:t>
      </w:r>
    </w:p>
    <w:tbl>
      <w:tblPr>
        <w:tblW w:type="dxa" w:w="9972"/>
        <w:tblBorders>
          <w:top w:val="single" w:color="FFC250" w:sz="8"/>
          <w:left w:val="single" w:color="FFC250" w:sz="8"/>
          <w:bottom w:val="single" w:color="FFC250" w:sz="8"/>
          <w:right w:val="single" w:color="FFC250" w:sz="8"/>
          <w:insideH w:val="none" w:color="auto" w:sz="0"/>
          <w:insideV w:val="none" w:color="auto" w:sz="0"/>
        </w:tblBorders>
      </w:tblPr>
      <w:tblGrid>
        <w:gridCol w:w="9972"/>
      </w:tblGrid>
      <w:tr>
        <w:tc>
          <w:tcPr>
            <w:tcW w:type="dxa" w:w="9972"/>
            <w:shd w:fill="FFEED3" w:color="auto" w:val="clear"/>
            <w:tcMar>
              <w:top w:type="dxa" w:w="160"/>
              <w:left w:type="dxa" w:w="200"/>
              <w:bottom w:type="dxa" w:w="160"/>
              <w:right w:type="dxa" w:w="200"/>
            </w:tcMar>
          </w:tcPr>
          <w:p>
            <w:pPr>
              <w:pStyle w:val="SaCell"/>
            </w:pPr>
            <w:r>
              <w:rPr>
                <w:b/>
                <w:bCs/>
              </w:rPr>
              <w:t xml:space="preserve">What this report is not</w:t>
            </w:r>
          </w:p>
          <w:p>
            <w:pPr>
              <w:pStyle w:val="SaCell"/>
            </w:pPr>
            <w:r>
              <w:t xml:space="preserve">It is not a search for someone to blame. A report that ends in a name ended too early: the useful question is not who made the error but why the error was possible and why nothing stopped it. It is also not the claim to the compensation board, which is a separate system with separate clocks. Nothing here is legal advice.</w:t>
            </w:r>
          </w:p>
        </w:tc>
      </w:tr>
    </w:tbl>
    <w:p>
      <w:pPr>
        <w:pStyle w:val="SaChrome"/>
      </w:pPr>
    </w:p>
    <w:p>
      <w:pPr>
        <w:pStyle w:val="SaH1"/>
      </w:pPr>
      <w:r>
        <w:t xml:space="preserve">1. Identification</w:t>
      </w:r>
    </w:p>
    <w:p>
      <w:pPr>
        <w:pStyle w:val="SaBasis"/>
      </w:pPr>
      <w:r>
        <w:t xml:space="preserve">— industry practice, nothing requires it</w:t>
      </w:r>
    </w:p>
    <w:p>
      <w:pPr>
        <w:pStyle w:val="SaBody"/>
      </w:pPr>
      <w:r>
        <w:rPr>
          <w:b w:val="false"/>
          <w:bCs w:val="false"/>
        </w:rPr>
        <w:t xml:space="preserve">Fill this in before starting the analysis, while the facts are fresh. The deadlines in section 2 count from dates that live here.</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Injured worker — name</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Job and time in that job</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Status</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[employee · temporary · apprentice · contractor]</w:t>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and time of the incident</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the employer learned of it</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Exact location</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Work being done at the time</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Hazard assessment reference</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Nature of the injury</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Medical treatment / time lost</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[decides which clocks start]</w:t>
            </w:r>
          </w:p>
        </w:tc>
      </w:tr>
    </w:tbl>
    <w:p>
      <w:pPr>
        <w:pStyle w:val="SaChrome"/>
      </w:pPr>
    </w:p>
    <w:p>
      <w:pPr>
        <w:pStyle w:val="SaH1"/>
      </w:pPr>
      <w:r>
        <w:t xml:space="preserve">2. The clocks that start now</w:t>
      </w:r>
    </w:p>
    <w:p>
      <w:pPr>
        <w:pStyle w:val="SaBasis"/>
      </w:pPr>
      <w:r>
        <w:t xml:space="preserve">— required by law</w:t>
      </w:r>
    </w:p>
    <w:p>
      <w:pPr>
        <w:pStyle w:val="SaBody"/>
      </w:pPr>
      <w:r>
        <w:rPr>
          <w:b w:val="false"/>
          <w:bCs w:val="false"/>
        </w:rPr>
        <w:t xml:space="preserve">Canada is where these clocks differ most, and British Columbia is the only jurisdiction in this set of five countries that puts a deadline on the *investigation* itself rather than only on the notification. Which set applies to you depends on the province — settle that before reading a date off this table.</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3390"/>
        <w:gridCol w:w="997"/>
        <w:gridCol w:w="2993"/>
      </w:tblGrid>
      <w:tr>
        <w:trPr>
          <w:tblHeader/>
        </w:trPr>
        <w:tc>
          <w:tcPr>
            <w:tcW w:type="dxa" w:w="2592"/>
            <w:shd w:fill="014259" w:color="auto" w:val="clear"/>
            <w:tcMar>
              <w:top w:type="dxa" w:w="60"/>
              <w:left w:type="dxa" w:w="100"/>
              <w:bottom w:type="dxa" w:w="60"/>
              <w:right w:type="dxa" w:w="100"/>
            </w:tcMar>
          </w:tcPr>
          <w:p>
            <w:pPr>
              <w:pStyle w:val="SaCellHeader"/>
            </w:pPr>
            <w:r>
              <w:t xml:space="preserve">Duty</w:t>
            </w:r>
          </w:p>
        </w:tc>
        <w:tc>
          <w:tcPr>
            <w:tcW w:type="dxa" w:w="3390"/>
            <w:shd w:fill="014259" w:color="auto" w:val="clear"/>
            <w:tcMar>
              <w:top w:type="dxa" w:w="60"/>
              <w:left w:type="dxa" w:w="100"/>
              <w:bottom w:type="dxa" w:w="60"/>
              <w:right w:type="dxa" w:w="100"/>
            </w:tcMar>
          </w:tcPr>
          <w:p>
            <w:pPr>
              <w:pStyle w:val="SaCellHeader"/>
            </w:pPr>
            <w:r>
              <w:t xml:space="preserve">To whom</w:t>
            </w:r>
          </w:p>
        </w:tc>
        <w:tc>
          <w:tcPr>
            <w:tcW w:type="dxa" w:w="997"/>
            <w:shd w:fill="014259" w:color="auto" w:val="clear"/>
            <w:tcMar>
              <w:top w:type="dxa" w:w="60"/>
              <w:left w:type="dxa" w:w="100"/>
              <w:bottom w:type="dxa" w:w="60"/>
              <w:right w:type="dxa" w:w="100"/>
            </w:tcMar>
          </w:tcPr>
          <w:p>
            <w:pPr>
              <w:pStyle w:val="SaCellHeader"/>
            </w:pPr>
            <w:r>
              <w:t xml:space="preserve">Within</w:t>
            </w:r>
          </w:p>
        </w:tc>
        <w:tc>
          <w:tcPr>
            <w:tcW w:type="dxa" w:w="2993"/>
            <w:shd w:fill="014259" w:color="auto" w:val="clear"/>
            <w:tcMar>
              <w:top w:type="dxa" w:w="60"/>
              <w:left w:type="dxa" w:w="100"/>
              <w:bottom w:type="dxa" w:w="60"/>
              <w:right w:type="dxa" w:w="100"/>
            </w:tcMar>
          </w:tcPr>
          <w:p>
            <w:pPr>
              <w:pStyle w:val="SaCellHeader"/>
            </w:pPr>
            <w:r>
              <w:t xml:space="preserve">Basis</w:t>
            </w:r>
          </w:p>
        </w:tc>
      </w:tr>
      <w:tr>
        <w:tc>
          <w:tcPr>
            <w:tcW w:type="dxa" w:w="25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Immediate notice — Ontario</w:t>
            </w:r>
          </w:p>
        </w:tc>
        <w:tc>
          <w:tcPr>
            <w:tcW w:type="dxa" w:w="3390"/>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An inspector, and the committee, health and safety representative and trade union, if any</w:t>
            </w:r>
          </w:p>
        </w:tc>
        <w:tc>
          <w:tcPr>
            <w:tcW w:type="dxa" w:w="9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Ontario OHSA, s. 51(1) — by telephone or other direct means</w:t>
            </w:r>
          </w:p>
        </w:tc>
      </w:tr>
      <w:tr>
        <w:tc>
          <w:tcPr>
            <w:tcW w:type="dxa" w:w="25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Written report — Ontario</w:t>
            </w:r>
          </w:p>
        </w:tc>
        <w:tc>
          <w:tcPr>
            <w:tcW w:type="dxa" w:w="3390"/>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A Director, and the committee, representative and trade union, if any</w:t>
            </w:r>
          </w:p>
        </w:tc>
        <w:tc>
          <w:tcPr>
            <w:tcW w:type="dxa" w:w="9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48 h</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Ontario OHSA, s. 51(1)</w:t>
            </w:r>
          </w:p>
        </w:tc>
      </w:tr>
      <w:tr>
        <w:tc>
          <w:tcPr>
            <w:tcW w:type="dxa" w:w="25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Written notice — Ontario</w:t>
            </w:r>
          </w:p>
        </w:tc>
        <w:tc>
          <w:tcPr>
            <w:tcW w:type="dxa" w:w="3390"/>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The committee, representative and union; and the Director if an inspector requires it</w:t>
            </w:r>
          </w:p>
        </w:tc>
        <w:tc>
          <w:tcPr>
            <w:tcW w:type="dxa" w:w="9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4 j</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Ontario OHSA, s. 52(1)</w:t>
            </w:r>
          </w:p>
        </w:tc>
      </w:tr>
      <w:tr>
        <w:tc>
          <w:tcPr>
            <w:tcW w:type="dxa" w:w="25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Preliminary investigation report — British Columbia</w:t>
            </w:r>
          </w:p>
        </w:tc>
        <w:tc>
          <w:tcPr>
            <w:tcW w:type="dxa" w:w="3390"/>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The Board on request; the joint committee or representative, or posted</w:t>
            </w:r>
          </w:p>
        </w:tc>
        <w:tc>
          <w:tcPr>
            <w:tcW w:type="dxa" w:w="9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48 h</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BC Workers Compensation Act, s. 71(2)(b)</w:t>
            </w:r>
          </w:p>
        </w:tc>
      </w:tr>
      <w:tr>
        <w:tc>
          <w:tcPr>
            <w:tcW w:type="dxa" w:w="2592"/>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Full investigation report — British Columbia</w:t>
            </w:r>
          </w:p>
        </w:tc>
        <w:tc>
          <w:tcPr>
            <w:tcW w:type="dxa" w:w="3390"/>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The Board, and the joint committee or representative, or posted</w:t>
            </w:r>
          </w:p>
        </w:tc>
        <w:tc>
          <w:tcPr>
            <w:tcW w:type="dxa" w:w="997"/>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30 j</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BC Workers Compensation Act, s. 72(2)</w:t>
            </w:r>
          </w:p>
        </w:tc>
      </w:tr>
    </w:tbl>
    <w:p>
      <w:pPr>
        <w:pStyle w:val="SaNote"/>
      </w:pPr>
      <w:r>
        <w:t xml:space="preserve">British Columbia is the only jurisdiction in this set of five countries that puts a deadline on the investigation itself: 48 hours for the preliminary report, 30 days for the full one. Section 69(1)(c) also requires an investigation where nobody was hurt but the incident had potential for serious injury — the near miss is not optional there.</w:t>
      </w:r>
    </w:p>
    <w:p>
      <w:pPr>
        <w:pStyle w:val="SaNote"/>
      </w:pPr>
      <w:r>
        <w:rPr>
          <w:b w:val="false"/>
          <w:bCs w:val="false"/>
        </w:rPr>
        <w:t xml:space="preserve">Only Ontario and British Columbia are computed here, because those are the two whose figures were read back from the statute. Alberta, Quebec and the federal regime impose their own reporting duties with their own triggers and their own words, and a date guessed from a neighbouring province is worse than no date. Workers' compensation claim deadlines are a separate system again, with separate clocks.</w:t>
      </w:r>
    </w:p>
    <w:p>
      <w:r>
        <w:br w:type="page"/>
      </w:r>
    </w:p>
    <w:p>
      <w:pPr>
        <w:pStyle w:val="SaH1"/>
      </w:pPr>
      <w:r>
        <w:t xml:space="preserve">3. Sequence of events</w:t>
      </w:r>
    </w:p>
    <w:p>
      <w:pPr>
        <w:pStyle w:val="SaBasis"/>
      </w:pPr>
      <w:r>
        <w:t xml:space="preserve">— industry practice, nothing requires it</w:t>
      </w:r>
    </w:p>
    <w:p>
      <w:pPr>
        <w:pStyle w:val="SaBody"/>
      </w:pPr>
      <w:r>
        <w:rPr>
          <w:b w:val="false"/>
          <w:bCs w:val="false"/>
        </w:rPr>
        <w:t xml:space="preserve">One line per fact, in order, and facts only. “The operator was rushing” is not a fact; “the operator reached in before the platen stopped” is. That discipline is what makes the cause analysis possible afterwards.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
        <w:gridCol w:w="897"/>
        <w:gridCol w:w="4387"/>
        <w:gridCol w:w="2393"/>
        <w:gridCol w:w="1797"/>
      </w:tblGrid>
      <w:tr>
        <w:trPr>
          <w:tblHeader/>
        </w:trPr>
        <w:tc>
          <w:tcPr>
            <w:tcW w:type="dxa" w:w="498"/>
            <w:shd w:fill="014259" w:color="auto" w:val="clear"/>
            <w:tcMar>
              <w:top w:type="dxa" w:w="60"/>
              <w:left w:type="dxa" w:w="100"/>
              <w:bottom w:type="dxa" w:w="60"/>
              <w:right w:type="dxa" w:w="100"/>
            </w:tcMar>
          </w:tcPr>
          <w:p>
            <w:pPr>
              <w:pStyle w:val="SaCellHeader"/>
            </w:pPr>
            <w:r>
              <w:t xml:space="preserve">No.</w:t>
            </w:r>
          </w:p>
        </w:tc>
        <w:tc>
          <w:tcPr>
            <w:tcW w:type="dxa" w:w="897"/>
            <w:shd w:fill="014259" w:color="auto" w:val="clear"/>
            <w:tcMar>
              <w:top w:type="dxa" w:w="60"/>
              <w:left w:type="dxa" w:w="100"/>
              <w:bottom w:type="dxa" w:w="60"/>
              <w:right w:type="dxa" w:w="100"/>
            </w:tcMar>
          </w:tcPr>
          <w:p>
            <w:pPr>
              <w:pStyle w:val="SaCellHeader"/>
            </w:pPr>
            <w:r>
              <w:t xml:space="preserve">Time</w:t>
            </w:r>
          </w:p>
        </w:tc>
        <w:tc>
          <w:tcPr>
            <w:tcW w:type="dxa" w:w="4387"/>
            <w:shd w:fill="014259" w:color="auto" w:val="clear"/>
            <w:tcMar>
              <w:top w:type="dxa" w:w="60"/>
              <w:left w:type="dxa" w:w="100"/>
              <w:bottom w:type="dxa" w:w="60"/>
              <w:right w:type="dxa" w:w="100"/>
            </w:tcMar>
          </w:tcPr>
          <w:p>
            <w:pPr>
              <w:pStyle w:val="SaCellHeader"/>
            </w:pPr>
            <w:r>
              <w:t xml:space="preserve">Fact established</w:t>
            </w:r>
          </w:p>
        </w:tc>
        <w:tc>
          <w:tcPr>
            <w:tcW w:type="dxa" w:w="2393"/>
            <w:shd w:fill="014259" w:color="auto" w:val="clear"/>
            <w:tcMar>
              <w:top w:type="dxa" w:w="60"/>
              <w:left w:type="dxa" w:w="100"/>
              <w:bottom w:type="dxa" w:w="60"/>
              <w:right w:type="dxa" w:w="100"/>
            </w:tcMar>
          </w:tcPr>
          <w:p>
            <w:pPr>
              <w:pStyle w:val="SaCellHeader"/>
            </w:pPr>
            <w:r>
              <w:t xml:space="preserve">How it is established</w:t>
            </w:r>
          </w:p>
        </w:tc>
        <w:tc>
          <w:tcPr>
            <w:tcW w:type="dxa" w:w="1797"/>
            <w:shd w:fill="014259" w:color="auto" w:val="clear"/>
            <w:tcMar>
              <w:top w:type="dxa" w:w="60"/>
              <w:left w:type="dxa" w:w="100"/>
              <w:bottom w:type="dxa" w:w="60"/>
              <w:right w:type="dxa" w:w="100"/>
            </w:tcMar>
          </w:tcPr>
          <w:p>
            <w:pPr>
              <w:pStyle w:val="SaCellHeader"/>
            </w:pPr>
            <w:r>
              <w:t xml:space="preserve">Source</w:t>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8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3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The “how it is established” column separates what was seen from what was said. A year later it is the only column that shows what the report actually knew.</w:t>
      </w:r>
    </w:p>
    <w:p>
      <w:pPr>
        <w:pStyle w:val="SaH1"/>
      </w:pPr>
      <w:r>
        <w:t xml:space="preserve">4. People present and witnesses</w:t>
      </w:r>
    </w:p>
    <w:p>
      <w:pPr>
        <w:pStyle w:val="SaBasis"/>
      </w:pPr>
      <w:r>
        <w:t xml:space="preserve">— industry practice, nothing requires it</w:t>
      </w:r>
    </w:p>
    <w:p>
      <w:pPr>
        <w:pStyle w:val="SaBody"/>
      </w:pPr>
      <w:r>
        <w:rPr>
          <w:b w:val="false"/>
          <w:bCs w:val="false"/>
        </w:rPr>
        <w:t xml:space="preserve">Names, immediately. BC s. 70(4) requires the employer to record the names, addresses and telephone numbers of witnesses and of anyone whose presence might be necessary for a proper investigation — and a witness found three weeks later has already rebuilt the memory.</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1994"/>
        <w:gridCol w:w="1794"/>
        <w:gridCol w:w="1994"/>
        <w:gridCol w:w="1196"/>
        <w:gridCol w:w="2994"/>
      </w:tblGrid>
      <w:tr>
        <w:trPr>
          <w:tblHeader/>
        </w:trPr>
        <w:tc>
          <w:tcPr>
            <w:tcW w:type="dxa" w:w="1994"/>
            <w:shd w:fill="014259" w:color="auto" w:val="clear"/>
            <w:tcMar>
              <w:top w:type="dxa" w:w="60"/>
              <w:left w:type="dxa" w:w="100"/>
              <w:bottom w:type="dxa" w:w="60"/>
              <w:right w:type="dxa" w:w="100"/>
            </w:tcMar>
          </w:tcPr>
          <w:p>
            <w:pPr>
              <w:pStyle w:val="SaCellHeader"/>
            </w:pPr>
            <w:r>
              <w:t xml:space="preserve">Name</w:t>
            </w:r>
          </w:p>
        </w:tc>
        <w:tc>
          <w:tcPr>
            <w:tcW w:type="dxa" w:w="1794"/>
            <w:shd w:fill="014259" w:color="auto" w:val="clear"/>
            <w:tcMar>
              <w:top w:type="dxa" w:w="60"/>
              <w:left w:type="dxa" w:w="100"/>
              <w:bottom w:type="dxa" w:w="60"/>
              <w:right w:type="dxa" w:w="100"/>
            </w:tcMar>
          </w:tcPr>
          <w:p>
            <w:pPr>
              <w:pStyle w:val="SaCellHeader"/>
            </w:pPr>
            <w:r>
              <w:t xml:space="preserve">Role</w:t>
            </w:r>
          </w:p>
        </w:tc>
        <w:tc>
          <w:tcPr>
            <w:tcW w:type="dxa" w:w="1994"/>
            <w:shd w:fill="014259" w:color="auto" w:val="clear"/>
            <w:tcMar>
              <w:top w:type="dxa" w:w="60"/>
              <w:left w:type="dxa" w:w="100"/>
              <w:bottom w:type="dxa" w:w="60"/>
              <w:right w:type="dxa" w:w="100"/>
            </w:tcMar>
          </w:tcPr>
          <w:p>
            <w:pPr>
              <w:pStyle w:val="SaCellHeader"/>
            </w:pPr>
            <w:r>
              <w:t xml:space="preserve">Present / witness / responder</w:t>
            </w:r>
          </w:p>
        </w:tc>
        <w:tc>
          <w:tcPr>
            <w:tcW w:type="dxa" w:w="1196"/>
            <w:shd w:fill="014259" w:color="auto" w:val="clear"/>
            <w:tcMar>
              <w:top w:type="dxa" w:w="60"/>
              <w:left w:type="dxa" w:w="100"/>
              <w:bottom w:type="dxa" w:w="60"/>
              <w:right w:type="dxa" w:w="100"/>
            </w:tcMar>
          </w:tcPr>
          <w:p>
            <w:pPr>
              <w:pStyle w:val="SaCellHeader"/>
            </w:pPr>
            <w:r>
              <w:t xml:space="preserve">Interviewed on</w:t>
            </w:r>
          </w:p>
        </w:tc>
        <w:tc>
          <w:tcPr>
            <w:tcW w:type="dxa" w:w="2994"/>
            <w:shd w:fill="014259" w:color="auto" w:val="clear"/>
            <w:tcMar>
              <w:top w:type="dxa" w:w="60"/>
              <w:left w:type="dxa" w:w="100"/>
              <w:bottom w:type="dxa" w:w="60"/>
              <w:right w:type="dxa" w:w="100"/>
            </w:tcMar>
          </w:tcPr>
          <w:p>
            <w:pPr>
              <w:pStyle w:val="SaCellHeader"/>
            </w:pPr>
            <w:r>
              <w:t xml:space="preserve">Contact details</w:t>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r>
        <w:br w:type="page"/>
      </w:r>
    </w:p>
    <w:p>
      <w:pPr>
        <w:pStyle w:val="SaH1"/>
      </w:pPr>
      <w:r>
        <w:t xml:space="preserve">5. Cause analysis</w:t>
      </w:r>
    </w:p>
    <w:p>
      <w:pPr>
        <w:pStyle w:val="SaBasis"/>
      </w:pPr>
      <w:r>
        <w:t xml:space="preserve">— industry practice, nothing requires it</w:t>
      </w:r>
    </w:p>
    <w:p>
      <w:pPr>
        <w:pStyle w:val="SaBody"/>
      </w:pPr>
      <w:r>
        <w:rPr>
          <w:b w:val="false"/>
          <w:bCs w:val="false"/>
        </w:rPr>
        <w:t xml:space="preserve">BC s. 72(1) frames the task in three parts: determine the cause or causes, identify any unsafe conditions, acts or procedures that significantly contributed, and determine the corrective action necessary to prevent recurrence. “Significantly contributed” is the useful phrase — it invites more than one cause.</w:t>
      </w:r>
    </w:p>
    <w:p>
      <w:pPr>
        <w:pStyle w:val="SaBody"/>
      </w:pPr>
      <w:r>
        <w:rPr>
          <w:b/>
          <w:bCs/>
        </w:rPr>
        <w:t xml:space="preserve">A cause you cannot change is not a useful cause. “Lack of attention” cannot be corrected; “no stop control within reach of the operating position” can.</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
        <w:gridCol w:w="2991"/>
        <w:gridCol w:w="2393"/>
        <w:gridCol w:w="2592"/>
        <w:gridCol w:w="1498"/>
      </w:tblGrid>
      <w:tr>
        <w:trPr>
          <w:tblHeader/>
        </w:trPr>
        <w:tc>
          <w:tcPr>
            <w:tcW w:type="dxa" w:w="498"/>
            <w:shd w:fill="014259" w:color="auto" w:val="clear"/>
            <w:tcMar>
              <w:top w:type="dxa" w:w="60"/>
              <w:left w:type="dxa" w:w="100"/>
              <w:bottom w:type="dxa" w:w="60"/>
              <w:right w:type="dxa" w:w="100"/>
            </w:tcMar>
          </w:tcPr>
          <w:p>
            <w:pPr>
              <w:pStyle w:val="SaCellHeader"/>
            </w:pPr>
            <w:r>
              <w:t xml:space="preserve">No.</w:t>
            </w:r>
          </w:p>
        </w:tc>
        <w:tc>
          <w:tcPr>
            <w:tcW w:type="dxa" w:w="2991"/>
            <w:shd w:fill="014259" w:color="auto" w:val="clear"/>
            <w:tcMar>
              <w:top w:type="dxa" w:w="60"/>
              <w:left w:type="dxa" w:w="100"/>
              <w:bottom w:type="dxa" w:w="60"/>
              <w:right w:type="dxa" w:w="100"/>
            </w:tcMar>
          </w:tcPr>
          <w:p>
            <w:pPr>
              <w:pStyle w:val="SaCellHeader"/>
            </w:pPr>
            <w:r>
              <w:t xml:space="preserve">Cause identified</w:t>
            </w:r>
          </w:p>
        </w:tc>
        <w:tc>
          <w:tcPr>
            <w:tcW w:type="dxa" w:w="2393"/>
            <w:shd w:fill="014259" w:color="auto" w:val="clear"/>
            <w:tcMar>
              <w:top w:type="dxa" w:w="60"/>
              <w:left w:type="dxa" w:w="100"/>
              <w:bottom w:type="dxa" w:w="60"/>
              <w:right w:type="dxa" w:w="100"/>
            </w:tcMar>
          </w:tcPr>
          <w:p>
            <w:pPr>
              <w:pStyle w:val="SaCellHeader"/>
            </w:pPr>
            <w:r>
              <w:t xml:space="preserve">Level: engineering · organisational · human · supervision</w:t>
            </w:r>
          </w:p>
        </w:tc>
        <w:tc>
          <w:tcPr>
            <w:tcW w:type="dxa" w:w="2592"/>
            <w:shd w:fill="014259" w:color="auto" w:val="clear"/>
            <w:tcMar>
              <w:top w:type="dxa" w:w="60"/>
              <w:left w:type="dxa" w:w="100"/>
              <w:bottom w:type="dxa" w:w="60"/>
              <w:right w:type="dxa" w:w="100"/>
            </w:tcMar>
          </w:tcPr>
          <w:p>
            <w:pPr>
              <w:pStyle w:val="SaCellHeader"/>
            </w:pPr>
            <w:r>
              <w:t xml:space="preserve">What would have prevented it</w:t>
            </w:r>
          </w:p>
        </w:tc>
        <w:tc>
          <w:tcPr>
            <w:tcW w:type="dxa" w:w="1498"/>
            <w:shd w:fill="014259" w:color="auto" w:val="clear"/>
            <w:tcMar>
              <w:top w:type="dxa" w:w="60"/>
              <w:left w:type="dxa" w:w="100"/>
              <w:bottom w:type="dxa" w:w="60"/>
              <w:right w:type="dxa" w:w="100"/>
            </w:tcMar>
          </w:tcPr>
          <w:p>
            <w:pPr>
              <w:pStyle w:val="SaCellHeader"/>
            </w:pPr>
            <w:r>
              <w:t xml:space="preserve">In the assessment already?</w:t>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9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The last column is the link back to prevention: a cause already identified in the hazard assessment and left untreated is very different information from one being discovered.</w:t>
      </w:r>
    </w:p>
    <w:p>
      <w:pPr>
        <w:pStyle w:val="SaH1"/>
      </w:pPr>
      <w:r>
        <w:t xml:space="preserve">6. Corrective action</w:t>
      </w:r>
    </w:p>
    <w:p>
      <w:pPr>
        <w:pStyle w:val="SaBasis"/>
      </w:pPr>
      <w:r>
        <w:t xml:space="preserve">— required by law</w:t>
      </w:r>
    </w:p>
    <w:p>
      <w:pPr>
        <w:pStyle w:val="SaBody"/>
      </w:pPr>
      <w:r>
        <w:rPr>
          <w:b w:val="false"/>
          <w:bCs w:val="false"/>
        </w:rPr>
        <w:t xml:space="preserve">BC s. 71(3) requires the corrective action identified in the preliminary investigation to be undertaken “without undue delay”, and s. 71(4) requires a report of the action taken to go to the committee or be posted. Alberta's repeat triggers for the hazard assessment include a process change, so a corrective action that changes how the job is done reopens the assessment.</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737"/>
        <w:gridCol w:w="1173"/>
        <w:gridCol w:w="2150"/>
        <w:gridCol w:w="1368"/>
        <w:gridCol w:w="1173"/>
        <w:gridCol w:w="1371"/>
      </w:tblGrid>
      <w:tr>
        <w:trPr>
          <w:tblHeader/>
        </w:trPr>
        <w:tc>
          <w:tcPr>
            <w:tcW w:type="dxa" w:w="2737"/>
            <w:shd w:fill="014259" w:color="auto" w:val="clear"/>
            <w:tcMar>
              <w:top w:type="dxa" w:w="60"/>
              <w:left w:type="dxa" w:w="100"/>
              <w:bottom w:type="dxa" w:w="60"/>
              <w:right w:type="dxa" w:w="100"/>
            </w:tcMar>
          </w:tcPr>
          <w:p>
            <w:pPr>
              <w:pStyle w:val="SaCellHeader"/>
            </w:pPr>
            <w:r>
              <w:t xml:space="preserve">Action decided</w:t>
            </w:r>
          </w:p>
        </w:tc>
        <w:tc>
          <w:tcPr>
            <w:tcW w:type="dxa" w:w="1173"/>
            <w:shd w:fill="014259" w:color="auto" w:val="clear"/>
            <w:tcMar>
              <w:top w:type="dxa" w:w="60"/>
              <w:left w:type="dxa" w:w="100"/>
              <w:bottom w:type="dxa" w:w="60"/>
              <w:right w:type="dxa" w:w="100"/>
            </w:tcMar>
          </w:tcPr>
          <w:p>
            <w:pPr>
              <w:pStyle w:val="SaCellHeader"/>
            </w:pPr>
            <w:r>
              <w:t xml:space="preserve">Cause addressed (no.)</w:t>
            </w:r>
          </w:p>
        </w:tc>
        <w:tc>
          <w:tcPr>
            <w:tcW w:type="dxa" w:w="2150"/>
            <w:shd w:fill="014259" w:color="auto" w:val="clear"/>
            <w:tcMar>
              <w:top w:type="dxa" w:w="60"/>
              <w:left w:type="dxa" w:w="100"/>
              <w:bottom w:type="dxa" w:w="60"/>
              <w:right w:type="dxa" w:w="100"/>
            </w:tcMar>
          </w:tcPr>
          <w:p>
            <w:pPr>
              <w:pStyle w:val="SaCellHeader"/>
            </w:pPr>
            <w:r>
              <w:t xml:space="preserve">Level: eliminate · engineering · administrative · PPE</w:t>
            </w:r>
          </w:p>
        </w:tc>
        <w:tc>
          <w:tcPr>
            <w:tcW w:type="dxa" w:w="1368"/>
            <w:shd w:fill="014259" w:color="auto" w:val="clear"/>
            <w:tcMar>
              <w:top w:type="dxa" w:w="60"/>
              <w:left w:type="dxa" w:w="100"/>
              <w:bottom w:type="dxa" w:w="60"/>
              <w:right w:type="dxa" w:w="100"/>
            </w:tcMar>
          </w:tcPr>
          <w:p>
            <w:pPr>
              <w:pStyle w:val="SaCellHeader"/>
            </w:pPr>
            <w:r>
              <w:t xml:space="preserve">Owner</w:t>
            </w:r>
          </w:p>
        </w:tc>
        <w:tc>
          <w:tcPr>
            <w:tcW w:type="dxa" w:w="1173"/>
            <w:shd w:fill="014259" w:color="auto" w:val="clear"/>
            <w:tcMar>
              <w:top w:type="dxa" w:w="60"/>
              <w:left w:type="dxa" w:w="100"/>
              <w:bottom w:type="dxa" w:w="60"/>
              <w:right w:type="dxa" w:w="100"/>
            </w:tcMar>
          </w:tcPr>
          <w:p>
            <w:pPr>
              <w:pStyle w:val="SaCellHeader"/>
            </w:pPr>
            <w:r>
              <w:t xml:space="preserve">Due</w:t>
            </w:r>
          </w:p>
        </w:tc>
        <w:tc>
          <w:tcPr>
            <w:tcW w:type="dxa" w:w="1371"/>
            <w:shd w:fill="014259" w:color="auto" w:val="clear"/>
            <w:tcMar>
              <w:top w:type="dxa" w:w="60"/>
              <w:left w:type="dxa" w:w="100"/>
              <w:bottom w:type="dxa" w:w="60"/>
              <w:right w:type="dxa" w:w="100"/>
            </w:tcMar>
          </w:tcPr>
          <w:p>
            <w:pPr>
              <w:pStyle w:val="SaCellHeader"/>
            </w:pPr>
            <w:r>
              <w:t xml:space="preserve">Assessment updated on</w:t>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5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6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7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Follow-up and closure</w:t>
      </w:r>
    </w:p>
    <w:p>
      <w:pPr>
        <w:pStyle w:val="SaBasis"/>
      </w:pPr>
      <w:r>
        <w:t xml:space="preserve">— required by law</w:t>
      </w:r>
    </w:p>
    <w:p>
      <w:pPr>
        <w:pStyle w:val="SaBody"/>
      </w:pPr>
      <w:r>
        <w:rPr>
          <w:b w:val="false"/>
          <w:bCs w:val="false"/>
        </w:rPr>
        <w:t xml:space="preserve">An investigation closes when the actions are done and verified, not when the report is written. Two different dates, and the second is the one that matters.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00"/>
        <w:gridCol w:w="9572"/>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Immediate notice given where a worker was killed or critically injured.</w:t>
            </w:r>
          </w:p>
          <w:p>
            <w:pPr>
              <w:pStyle w:val="SaHint"/>
            </w:pPr>
            <w:r>
              <w:t xml:space="preserve">Ontario OHSA s. 51(1) — by telephone or other direct means, to an inspector and to the committee, representative and union.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Written report or notice sent within the applicable period.</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Scene left undisturbed until an inspector permitted otherwise, where that applied.</w:t>
            </w:r>
          </w:p>
          <w:p>
            <w:pPr>
              <w:pStyle w:val="SaHint"/>
            </w:pPr>
            <w:r>
              <w:t xml:space="preserve">Ontario OHSA s. 51(2).</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Preliminary report completed and given to the committee or posted.</w:t>
            </w:r>
          </w:p>
          <w:p>
            <w:pPr>
              <w:pStyle w:val="SaHint"/>
            </w:pPr>
            <w:r>
              <w:t xml:space="preserve">BC WCA s. 71(2).</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Full report submitted to the Board and to the committee, or posted, within 30 days.</w:t>
            </w:r>
          </w:p>
          <w:p>
            <w:pPr>
              <w:pStyle w:val="SaHint"/>
            </w:pPr>
            <w:r>
              <w:t xml:space="preserve">BC WCA s. 72(2).</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Corrective action undertaken without undue delay, and a report of it issued.</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Hazard assessment updated where the causes or the corrective action changed it.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Effectiveness verified on site, on a set date.</w:t>
            </w:r>
          </w:p>
        </w:tc>
      </w:tr>
    </w:tbl>
    <w:p>
      <w:pPr>
        <w:pStyle w:val="SaChrome"/>
      </w:pPr>
    </w:p>
    <w:p>
      <w:pPr>
        <w:pStyle w:val="SaH1"/>
      </w:pPr>
      <w:r>
        <w:t xml:space="preserve">8. Sign-off</w:t>
      </w:r>
    </w:p>
    <w:p>
      <w:pPr>
        <w:pStyle w:val="SaBasis"/>
      </w:pPr>
      <w:r>
        <w:t xml:space="preserve">— industry practice, nothing requires it</w:t>
      </w:r>
    </w:p>
    <w:p>
      <w:pPr>
        <w:pStyle w:val="SaBody"/>
      </w:pPr>
      <w:r>
        <w:rPr>
          <w:b w:val="false"/>
          <w:bCs w:val="false"/>
        </w:rPr>
        <w:t xml:space="preserve">The signature records that the investigation was carried out this way and that these are the conclusions. It assigns no liability.</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3324"/>
        <w:gridCol w:w="3324"/>
        <w:gridCol w:w="3324"/>
      </w:tblGrid>
      <w:tr>
        <w:tc>
          <w:tcPr>
            <w:tcW w:type="dxa" w:w="332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Employer or authorized representative</w:t>
            </w:r>
          </w:p>
          <w:p>
            <w:pPr>
              <w:pStyle w:val="SaHint"/>
            </w:pPr>
            <w:r>
              <w:t xml:space="preserve">Name, title, date</w:t>
            </w:r>
          </w:p>
        </w:tc>
        <w:tc>
          <w:tcPr>
            <w:tcW w:type="dxa" w:w="332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Persons who conducted the investigation</w:t>
            </w:r>
          </w:p>
          <w:p>
            <w:pPr>
              <w:pStyle w:val="SaHint"/>
            </w:pPr>
            <w:r>
              <w:t xml:space="preserve">Name, title, date</w:t>
            </w:r>
          </w:p>
        </w:tc>
        <w:tc>
          <w:tcPr>
            <w:tcW w:type="dxa" w:w="3324"/>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Worker representative</w:t>
            </w:r>
          </w:p>
          <w:p>
            <w:pPr>
              <w:pStyle w:val="SaHint"/>
            </w:pPr>
            <w:r>
              <w:t xml:space="preserve">Name, date — s. 70(1) participation</w:t>
            </w:r>
          </w:p>
        </w:tc>
      </w:tr>
      <w:tr>
        <w:trPr>
          <w:trHeight w:val="1100" w:hRule="atLeast"/>
        </w:trPr>
        <w:tc>
          <w:tcPr>
            <w:tcW w:type="dxa" w:w="332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2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32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BC Workers Compensation Act, Part 2 — ss. 69 to 73, investigations — </w:t>
      </w:r>
      <w:hyperlink w:history="1" r:id="rIdugchjpcpjjb64ofrx4i-0">
        <w:r>
          <w:rPr>
            <w:color w:val="005674"/>
            <w:u w:val="single"/>
          </w:rPr>
          <w:t xml:space="preserve">https://www.worksafebc.com/en/law-policy/occupational-health-safety/searchable-ohs-regulation/workers-compensation-act/part-2-occupational-health-and-safety</w:t>
        </w:r>
      </w:hyperlink>
    </w:p>
    <w:p>
      <w:pPr>
        <w:pStyle w:val="ListParagraph"/>
        <w:pStyle w:val="SaNote"/>
        <w:numPr>
          <w:ilvl w:val="0"/>
          <w:numId w:val="1"/>
        </w:numPr>
      </w:pPr>
      <w:r>
        <w:t xml:space="preserve">Ontario OHSA, ss. 51 and 52 — notices of death, injury and accident — </w:t>
      </w:r>
      <w:hyperlink w:history="1" r:id="rIdqekna5ayf5xr8h89_usdt">
        <w:r>
          <w:rPr>
            <w:color w:val="005674"/>
            <w:u w:val="single"/>
          </w:rPr>
          <w:t xml:space="preserve">https://www.ontario.ca/laws/statute/90o01</w:t>
        </w:r>
      </w:hyperlink>
    </w:p>
    <w:p>
      <w:pPr>
        <w:pStyle w:val="SaNote"/>
      </w:pPr>
      <w:r>
        <w:rPr>
          <w:b w:val="false"/>
          <w:bCs w:val="false"/>
        </w:rPr>
        <w:t xml:space="preserve">Content last reviewed 2026-09-08 · This template's page — https://safeally.net/en-ca/templates/incident-investigation-report/</w:t>
      </w:r>
    </w:p>
    <w:p>
      <w:pPr>
        <w:pStyle w:val="SaNote"/>
      </w:pPr>
      <w:r>
        <w:rPr>
          <w:b w:val="false"/>
          <w:bCs w:val="false"/>
        </w:rPr>
        <w:t xml:space="preserve">SafeAlly — safeally.net · free, no account, editable document</w:t>
      </w:r>
    </w:p>
    <w:sectPr>
      <w:headerReference w:type="default" r:id="rId7"/>
      <w:footerReference w:type="default" r:id="rId8"/>
      <w:pgSz w:w="12240" w:h="15840"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972"/>
      </w:tabs>
    </w:pPr>
    <w:r>
      <w:t xml:space="preserve">Content last reviewed 2026-09-08 · safeally.net</w:t>
    </w:r>
    <w:r>
      <w:t xml:space="preserve">	</w:t>
      <w:t xml:space="preserve">Page </w:t>
      <w:fldChar w:fldCharType="begin"/>
      <w:instrText xml:space="preserve">PAGE</w:instrText>
      <w:fldChar w:fldCharType="separate"/>
      <w:fldChar w:fldCharType="end"/>
    </w:r>
    <w:r>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Incident investigation — no. …………… — occurred ……/……/……… at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worksafebc.com/en/law-policy/occupational-health-safety/searchable-ohs-regulation/workers-compensation-act/part-2-occupational-health-and-safety" TargetMode="External"/><Relationship Id="rIdqekna5ayf5xr8h89_usdt" Type="http://schemas.openxmlformats.org/officeDocument/2006/relationships/hyperlink" Target="https://www.ontario.ca/laws/statute/90o0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investigation report</dc:title>
  <dc:subject>Blank incident investigation report — Canada. SafeAlly, safeally.net.</dc:subject>
  <dc:creator>SafeAlly — safeally.net</dc:creator>
  <dc:description>Blank incident investigation report — Canada.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