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Informe de investigación de accidente</w:t>
      </w:r>
    </w:p>
    <w:p>
      <w:pPr>
        <w:pStyle w:val="SaSubtitle"/>
      </w:pPr>
      <w:r>
        <w:t xml:space="preserve">España — Ley 31/1995. La investigación es un deber legal, no una buena práctica: art. 16.3.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Lo que este informe no es</w:t>
            </w:r>
          </w:p>
          <w:p>
            <w:pPr>
              <w:pStyle w:val="SaCell"/>
            </w:pPr>
            <w:r>
              <w:t xml:space="preserve">No es una búsqueda de culpables. Un informe que acaba en un nombre acabó demasiado pronto: la pregunta útil no es quién cometió el error, sino por qué el error era posible y por qué nada lo detuvo. Tampoco es el parte de accidente, que es un trámite distinto con su propio canal. Nada de esto es asesoramiento jurídico.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1. Identificación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Rellene este apartado antes de empezar el análisis, mientras los hechos están frescos.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Trabajador accidentado — nombre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Puesto y antigüedad en el puesto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Situación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[fijo · temporal · ETT · aprendiz · contrata]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Fecha y hora del accidente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Fecha en que la empresa lo conoció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Lugar exacto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Trabajo que se realizaba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Puesto de la evaluación de riesgos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Naturaleza de las lesiones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Baja médica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[sí / no, duración prevista]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Los deberes que se activan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En España la investigación tiene base legal explícita y la notificación tiene su propio canal. Los dos deberes de abajo son de la LPRL; el plazo administrativo del parte de accidente depende del sistema de notificación electrónica y no se calcula aquí — se dice por qué.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3276"/>
        <w:gridCol w:w="963"/>
        <w:gridCol w:w="2894"/>
      </w:tblGrid>
      <w:tr>
        <w:trPr>
          <w:tblHeader/>
        </w:trPr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Deber</w:t>
            </w:r>
          </w:p>
        </w:tc>
        <w:tc>
          <w:tcPr>
            <w:tcW w:type="dxa" w:w="327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Ante quién</w:t>
            </w:r>
          </w:p>
        </w:tc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Plazo</w:t>
            </w:r>
          </w:p>
        </w:tc>
        <w:tc>
          <w:tcPr>
            <w:tcW w:type="dxa" w:w="289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Base</w:t>
            </w:r>
          </w:p>
        </w:tc>
      </w:tr>
      <w:t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Investigación de las causas</w:t>
            </w:r>
          </w:p>
        </w:tc>
        <w:tc>
          <w:tcPr>
            <w:tcW w:type="dxa" w:w="327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La propia empresa, con el servicio de prevención</w:t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—</w:t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LPRL, art. 16.3</w:t>
            </w:r>
          </w:p>
        </w:tc>
      </w:tr>
      <w:t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Notificación por escrito a la autoridad laboral</w:t>
            </w:r>
          </w:p>
        </w:tc>
        <w:tc>
          <w:tcPr>
            <w:tcW w:type="dxa" w:w="327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La autoridad laboral</w:t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—</w:t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LPRL, art. 23.3 — «conforme al procedimiento que se determine reglamentariamente»</w:t>
            </w:r>
          </w:p>
        </w:tc>
      </w:tr>
      <w:t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Relación de accidentes y enfermedades profesionales</w:t>
            </w:r>
          </w:p>
        </w:tc>
        <w:tc>
          <w:tcPr>
            <w:tcW w:type="dxa" w:w="327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La documentación a disposición de la autoridad laboral</w:t>
            </w:r>
          </w:p>
        </w:tc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—</w:t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LPRL, art. 23.1.e)</w:t>
            </w:r>
          </w:p>
        </w:tc>
      </w:tr>
    </w:tbl>
    <w:p>
      <w:pPr>
        <w:pStyle w:val="SaNote"/>
      </w:pPr>
      <w:r>
        <w:t xml:space="preserve">España es, de los cinco países, el único donde la investigación en sí misma es una obligación legal expresa: el artículo 16.3 la impone cuando se ha producido un daño para la salud, y también cuando la vigilancia de la salud revela indicios de que las medidas son insuficientes — es decir, sin que haya habido accidente.</w:t>
      </w:r>
    </w:p>
    <w:p>
      <w:pPr>
        <w:pStyle w:val="SaNote"/>
      </w:pPr>
      <w:r>
        <w:rPr>
          <w:b w:val="false"/>
          <w:bCs w:val="false"/>
        </w:rPr>
        <w:t xml:space="preserve">El plazo del parte de accidente de trabajo no se calcula aquí. El artículo 23.3 de la LPRL remite al «procedimiento que se determine reglamentariamente», y ese procedimiento vive en la normativa de notificación electrónica, que cambia con más frecuencia que la ley: dar aquí una fecha exacta sería dar una fecha que puede estar equivocada. Compruébelo en el sistema de notificación vigente. Y la investigación del art. 16.3 no tiene plazo — por eso una investigación aplazada tres semanas es una investigación que no se hará.</w:t>
      </w:r>
    </w:p>
    <w:p>
      <w:r>
        <w:br w:type="page"/>
      </w:r>
    </w:p>
    <w:p>
      <w:pPr>
        <w:pStyle w:val="SaH1"/>
      </w:pPr>
      <w:r>
        <w:t xml:space="preserve">3. Secuencia de los hechos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Una línea por hecho, en orden, y solo hechos. «El operario iba con prisa» no es un hecho; «el operario introdujo la mano antes de que la prensa se detuviera» sí lo es. Esa disciplina es lo que hace posible el análisis de causas después.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867"/>
        <w:gridCol w:w="4240"/>
        <w:gridCol w:w="2313"/>
        <w:gridCol w:w="1737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N.º</w:t>
            </w:r>
          </w:p>
        </w:tc>
        <w:tc>
          <w:tcPr>
            <w:tcW w:type="dxa" w:w="86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Hora</w:t>
            </w:r>
          </w:p>
        </w:tc>
        <w:tc>
          <w:tcPr>
            <w:tcW w:type="dxa" w:w="424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Hecho constatado</w:t>
            </w:r>
          </w:p>
        </w:tc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Cómo se acredita</w:t>
            </w:r>
          </w:p>
        </w:tc>
        <w:tc>
          <w:tcPr>
            <w:tcW w:type="dxa" w:w="173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Fuente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86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24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columna «cómo se acredita» separa lo visto de lo contado. Un año después es la única que dice qué sabía realmente el informe.</w:t>
      </w:r>
    </w:p>
    <w:p>
      <w:pPr>
        <w:pStyle w:val="SaH1"/>
      </w:pPr>
      <w:r>
        <w:t xml:space="preserve">4. Personas presentes y testigos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Los nombres, de inmediato. Un testigo localizado tres semanas después ya ha reconstruido su recuerdo, y un trabajador de ETT puede no estar.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927"/>
        <w:gridCol w:w="1734"/>
        <w:gridCol w:w="1927"/>
        <w:gridCol w:w="1156"/>
        <w:gridCol w:w="2894"/>
      </w:tblGrid>
      <w:tr>
        <w:trPr>
          <w:tblHeader/>
        </w:trPr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Nombre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Función</w:t>
            </w:r>
          </w:p>
        </w:tc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Presente / testigo / interviniente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Entrevistado el</w:t>
            </w:r>
          </w:p>
        </w:tc>
        <w:tc>
          <w:tcPr>
            <w:tcW w:type="dxa" w:w="289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Observaciones</w:t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r>
        <w:br w:type="page"/>
      </w:r>
    </w:p>
    <w:p>
      <w:pPr>
        <w:pStyle w:val="SaH1"/>
      </w:pPr>
      <w:r>
        <w:t xml:space="preserve">5. Análisis de causas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El artículo 16.3 dice para qué sirve la investigación: «a fin de detectar las causas de estos hechos». En plural. Una sola causa en un informe es casi siempre una causa insuficiente.</w:t>
      </w:r>
    </w:p>
    <w:p>
      <w:pPr>
        <w:pStyle w:val="SaBody"/>
      </w:pPr>
      <w:r>
        <w:rPr>
          <w:b/>
          <w:bCs/>
        </w:rPr>
        <w:t xml:space="preserve">Una causa que no se puede cambiar no es una causa útil. «Falta de atención» no se corrige; «sin dispositivo de parada al alcance del puesto» se corrige.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2891"/>
        <w:gridCol w:w="2313"/>
        <w:gridCol w:w="2505"/>
        <w:gridCol w:w="1448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N.º</w:t>
            </w:r>
          </w:p>
        </w:tc>
        <w:tc>
          <w:tcPr>
            <w:tcW w:type="dxa" w:w="289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Causa identificada</w:t>
            </w:r>
          </w:p>
        </w:tc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Nivel: técnico · organizativo · humano · mando</w:t>
            </w:r>
          </w:p>
        </w:tc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Qué lo habría evitado</w:t>
            </w:r>
          </w:p>
        </w:tc>
        <w:tc>
          <w:tcPr>
            <w:tcW w:type="dxa" w:w="144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¿Estaba en la evaluación?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89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44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La última columna enlaza con la prevención: una causa ya evaluada y no tratada es una información muy distinta de una que se descubre.</w:t>
      </w:r>
    </w:p>
    <w:p>
      <w:pPr>
        <w:pStyle w:val="SaH1"/>
      </w:pPr>
      <w:r>
        <w:t xml:space="preserve">6. Medidas adoptadas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Las medidas van a la planificación de la actividad preventiva con plazo, responsable y recursos (art. 16.2.b). Y el artículo 6 del RD 39/1997 obliga a revisar la evaluación con ocasión de los daños producidos, teniendo en cuenta la investigación de sus causas: este informe es, por tanto, una entrada de la revisión, no un documento aparte.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645"/>
        <w:gridCol w:w="1133"/>
        <w:gridCol w:w="2078"/>
        <w:gridCol w:w="1322"/>
        <w:gridCol w:w="1133"/>
        <w:gridCol w:w="1327"/>
      </w:tblGrid>
      <w:tr>
        <w:trPr>
          <w:tblHeader/>
        </w:trPr>
        <w:tc>
          <w:tcPr>
            <w:tcW w:type="dxa" w:w="264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Medida adoptada</w:t>
            </w:r>
          </w:p>
        </w:tc>
        <w:tc>
          <w:tcPr>
            <w:tcW w:type="dxa" w:w="113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Causa tratada (n.º)</w:t>
            </w:r>
          </w:p>
        </w:tc>
        <w:tc>
          <w:tcPr>
            <w:tcW w:type="dxa" w:w="207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Nivel: eliminación · protección colectiva · organización · EPI</w:t>
            </w:r>
          </w:p>
        </w:tc>
        <w:tc>
          <w:tcPr>
            <w:tcW w:type="dxa" w:w="132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Responsable</w:t>
            </w:r>
          </w:p>
        </w:tc>
        <w:tc>
          <w:tcPr>
            <w:tcW w:type="dxa" w:w="113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Plazo</w:t>
            </w:r>
          </w:p>
        </w:tc>
        <w:tc>
          <w:tcPr>
            <w:tcW w:type="dxa" w:w="13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Evaluación revisada el</w:t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4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7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3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7. Seguimiento y cierre</w:t>
      </w:r>
    </w:p>
    <w:p>
      <w:pPr>
        <w:pStyle w:val="SaBasis"/>
      </w:pPr>
      <w:r>
        <w:t xml:space="preserve">— exigido por la normativa</w:t>
      </w:r>
    </w:p>
    <w:p>
      <w:pPr>
        <w:pStyle w:val="SaBody"/>
      </w:pPr>
      <w:r>
        <w:rPr>
          <w:b w:val="false"/>
          <w:bCs w:val="false"/>
        </w:rPr>
        <w:t xml:space="preserve">Una investigación se cierra cuando las medidas están hechas y comprobadas, no cuando el informe está escrito. Dos fechas distintas, y cuenta la segunda.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00"/>
        <w:gridCol w:w="9238"/>
      </w:tblGrid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Investigación realizada con el servicio de prevención.</w:t>
            </w:r>
          </w:p>
          <w:p>
            <w:pPr>
              <w:pStyle w:val="SaHint"/>
            </w:pPr>
            <w:r>
              <w:t xml:space="preserve">Art. 16.3 LPRL.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Notificación por escrito a la autoridad laboral, por el canal vigente.</w:t>
            </w:r>
          </w:p>
          <w:p>
            <w:pPr>
              <w:pStyle w:val="SaHint"/>
            </w:pPr>
            <w:r>
              <w:t xml:space="preserve">Art. 23.3 LPRL.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Accidente incorporado a la relación del art. 23.1.e), si causó más de un día de baja.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Delegados de Prevención informados y, en su caso, presentes en la investigación.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Comité de Seguridad y Salud informado para su análisis.</w:t>
            </w:r>
          </w:p>
          <w:p>
            <w:pPr>
              <w:pStyle w:val="SaHint"/>
            </w:pPr>
            <w:r>
              <w:t xml:space="preserve">Art. 39.2.c) LPRL: conocer y analizar los daños producidos.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Evaluación de riesgos revisada por el daño producido.</w:t>
            </w:r>
          </w:p>
          <w:p>
            <w:pPr>
              <w:pStyle w:val="SaHint"/>
            </w:pPr>
            <w:r>
              <w:t xml:space="preserve">Art. 6 RD 39/1997.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Medidas inmediatas adoptadas antes de reanudar el trabajo.</w:t>
            </w:r>
          </w:p>
        </w:tc>
      </w:tr>
      <w:tr>
        <w:trPr>
          <w:trHeight w:val="400" w:hRule="atLeast"/>
        </w:trPr>
        <w:tc>
          <w:tcPr>
            <w:tcW w:type="dxa" w:w="400"/>
            <w:tcBorders>
              <w:top w:val="single" w:color="005674" w:sz="6"/>
              <w:left w:val="single" w:color="005674" w:sz="6"/>
              <w:bottom w:val="single" w:color="005674" w:sz="6"/>
              <w:right w:val="single" w:color="005674" w:sz="6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9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60"/>
              <w:left w:type="dxa" w:w="160"/>
              <w:bottom w:type="dxa" w:w="60"/>
              <w:right w:type="dxa" w:w="0"/>
            </w:tcMar>
            <w:vAlign w:val="center"/>
          </w:tcPr>
          <w:p>
            <w:pPr>
              <w:pStyle w:val="SaCell"/>
            </w:pPr>
            <w:r>
              <w:t xml:space="preserve">Eficacia comprobada en fecha fijada.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8. Firmas</w:t>
      </w:r>
    </w:p>
    <w:p>
      <w:pPr>
        <w:pStyle w:val="SaBasis"/>
      </w:pPr>
      <w:r>
        <w:t xml:space="preserve">— práctica del sector, nada lo exige</w:t>
      </w:r>
    </w:p>
    <w:p>
      <w:pPr>
        <w:pStyle w:val="SaBody"/>
      </w:pPr>
      <w:r>
        <w:rPr>
          <w:b w:val="false"/>
          <w:bCs w:val="false"/>
        </w:rPr>
        <w:t xml:space="preserve">La firma acredita que la investigación se hizo así y que estas son las conclusiones. No atribuye responsabilidad alguna.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La empresa</w:t>
            </w:r>
          </w:p>
          <w:p>
            <w:pPr>
              <w:pStyle w:val="SaHint"/>
            </w:pPr>
            <w:r>
              <w:t xml:space="preserve">Nombre, cargo, fecha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Quien investiga</w:t>
            </w:r>
          </w:p>
          <w:p>
            <w:pPr>
              <w:pStyle w:val="SaHint"/>
            </w:pPr>
            <w:r>
              <w:t xml:space="preserve">Nombre, cargo, fecha</w:t>
            </w:r>
          </w:p>
        </w:tc>
        <w:tc>
          <w:tcPr>
            <w:tcW w:type="dxa" w:w="32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Delegado de Prevención</w:t>
            </w:r>
          </w:p>
          <w:p>
            <w:pPr>
              <w:pStyle w:val="SaHint"/>
            </w:pPr>
            <w:r>
              <w:t xml:space="preserve">Nombre, fecha</w:t>
            </w:r>
          </w:p>
        </w:tc>
      </w:tr>
      <w:tr>
        <w:trPr>
          <w:trHeight w:val="1100" w:hRule="atLeast"/>
        </w:trPr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21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Fuentes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Ley 31/1995 (LPRL), arts. 16.3, 23 y 39 — investigación, documentación y comité — </w:t>
      </w:r>
      <w:hyperlink w:history="1" r:id="rIdugchjpcpjjb64ofrx4i-0">
        <w:r>
          <w:rPr>
            <w:color w:val="005674"/>
            <w:u w:val="single"/>
          </w:rPr>
          <w:t xml:space="preserve">https://www.boe.es/buscar/act.php?id=BOE-A-1995-24292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RD 39/1997, art. 6 — revisión de la evaluación tras un daño — </w:t>
      </w:r>
      <w:hyperlink w:history="1" r:id="rIdqekna5ayf5xr8h89_usdt">
        <w:r>
          <w:rPr>
            <w:color w:val="005674"/>
            <w:u w:val="single"/>
          </w:rPr>
          <w:t xml:space="preserve">https://www.boe.es/buscar/act.php?id=BOE-A-1997-1853</w:t>
        </w:r>
      </w:hyperlink>
    </w:p>
    <w:p>
      <w:pPr>
        <w:pStyle w:val="SaNote"/>
      </w:pPr>
      <w:r>
        <w:rPr>
          <w:b w:val="false"/>
          <w:bCs w:val="false"/>
        </w:rPr>
        <w:t xml:space="preserve">Contenido revisado el 2026-09-08 · La página de esta plantilla — https://safeally.net/es-es/plantillas/informe-investigacion-de-accidente/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gratuito, sin cuenta, documento editable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Contenido revisado el 2026-09-08 · safeally.net</w:t>
    </w:r>
    <w:r>
      <w:t xml:space="preserve">	</w:t>
      <w:t xml:space="preserve">Página </w:t>
      <w:fldChar w:fldCharType="begin"/>
      <w:instrText xml:space="preserve">PAGE</w:instrText>
      <w:fldChar w:fldCharType="separate"/>
      <w:fldChar w:fldCharType="end"/>
    </w:r>
    <w:r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Investigación — n.º …………… — ocurrido el ……/……/……… a las ……:……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boe.es/buscar/act.php?id=BOE-A-1995-24292" TargetMode="External"/><Relationship Id="rIdqekna5ayf5xr8h89_usdt" Type="http://schemas.openxmlformats.org/officeDocument/2006/relationships/hyperlink" Target="https://www.boe.es/buscar/act.php?id=BOE-A-1997-1853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investigación de accidente</dc:title>
  <dc:subject>Informe en blanco de investigación de accidente de trabajo — España. SafeAlly, safeally.net.</dc:subject>
  <dc:creator>SafeAlly — safeally.net</dc:creator>
  <dc:description>Informe en blanco de investigación de accidente de trabajo — España.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