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Rapport d'enquête après accident du travail</w:t>
      </w:r>
    </w:p>
    <w:p>
      <w:pPr>
        <w:pStyle w:val="SaSubtitle"/>
      </w:pPr>
      <w:r>
        <w:t xml:space="preserve">France — Code de la sécurité sociale et Code du travail. Les délais de déclaration sont en section 2.</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Ce que ce rapport n'est pas</w:t>
            </w:r>
          </w:p>
          <w:p>
            <w:pPr>
              <w:pStyle w:val="SaCell"/>
            </w:pPr>
            <w:r>
              <w:t xml:space="preserve">Ce n'est pas une recherche de responsable. Un rapport qui se termine par un nom se termine trop tôt : la question utile n'est pas qui a fait l'erreur mais pourquoi l'erreur était possible, et pourquoi elle n'a pas été arrêtée. Ce n'est pas non plus la déclaration à la caisse, qui est une formalité distincte avec son propre délai — voir la section 2. Rien ici ne constitue un conseil juridique.</w:t>
            </w:r>
          </w:p>
        </w:tc>
      </w:tr>
    </w:tbl>
    <w:p>
      <w:pPr>
        <w:pStyle w:val="SaChrome"/>
      </w:pPr>
    </w:p>
    <w:p>
      <w:pPr>
        <w:pStyle w:val="SaH1"/>
      </w:pPr>
      <w:r>
        <w:t xml:space="preserve">1. Identification</w:t>
      </w:r>
    </w:p>
    <w:p>
      <w:pPr>
        <w:pStyle w:val="SaBasis"/>
      </w:pPr>
      <w:r>
        <w:t xml:space="preserve">— pratique de métier, rien ne l'impose</w:t>
      </w:r>
    </w:p>
    <w:p>
      <w:pPr>
        <w:pStyle w:val="SaBody"/>
      </w:pPr>
      <w:r>
        <w:rPr>
          <w:b w:val="false"/>
          <w:bCs w:val="false"/>
        </w:rPr>
        <w:t xml:space="preserve">Renseignez cette section avant de commencer l'analyse, pendant que les faits sont frais. Les délais de la section 2 se comptent à partir de dates qui sont ici.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Victime — nom et prénom</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Poste et ancienneté au poste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Statut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[CDI · CDD · intérim · apprenti · entreprise extérieure]</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et heure de l'accident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à laquelle l'employeur en a eu connaissance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[c'est de là que part le délai de 48 h]</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Lieu précis</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Travail en cours au moment de l'accident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Unité de travail du DUERP</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Nature des lésions</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Arrêt de travail prescrit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[oui / non, durée]</w:t>
            </w:r>
          </w:p>
        </w:tc>
      </w:tr>
    </w:tbl>
    <w:p>
      <w:pPr>
        <w:pStyle w:val="SaChrome"/>
      </w:pPr>
    </w:p>
    <w:p>
      <w:pPr>
        <w:pStyle w:val="SaH1"/>
      </w:pPr>
      <w:r>
        <w:t xml:space="preserve">2. Les délais qui courent</w:t>
      </w:r>
    </w:p>
    <w:p>
      <w:pPr>
        <w:pStyle w:val="SaBasis"/>
      </w:pPr>
      <w:r>
        <w:t xml:space="preserve">— imposé par la réglementation</w:t>
      </w:r>
    </w:p>
    <w:p>
      <w:pPr>
        <w:pStyle w:val="SaBody"/>
      </w:pPr>
      <w:r>
        <w:rPr>
          <w:b w:val="false"/>
          <w:bCs w:val="false"/>
        </w:rPr>
        <w:t xml:space="preserve">Deux horloges partent en même temps et n'ont rien à voir l'une avec l'autre : la déclaration à la caisse, qui est une formalité de sécurité sociale, et l'analyse de l'accident, qui est de la prévention. La première a un délai ; la seconde n'en a pas, et c'est celle qui évite le suivant.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3276"/>
        <w:gridCol w:w="963"/>
        <w:gridCol w:w="2894"/>
      </w:tblGrid>
      <w:tr>
        <w:trPr>
          <w:tblHeader/>
        </w:trPr>
        <w:tc>
          <w:tcPr>
            <w:tcW w:type="dxa" w:w="2505"/>
            <w:shd w:fill="014259" w:color="auto" w:val="clear"/>
            <w:tcMar>
              <w:top w:type="dxa" w:w="60"/>
              <w:left w:type="dxa" w:w="100"/>
              <w:bottom w:type="dxa" w:w="60"/>
              <w:right w:type="dxa" w:w="100"/>
            </w:tcMar>
          </w:tcPr>
          <w:p>
            <w:pPr>
              <w:pStyle w:val="SaCellHeader"/>
            </w:pPr>
            <w:r>
              <w:t xml:space="preserve">Obligation</w:t>
            </w:r>
          </w:p>
        </w:tc>
        <w:tc>
          <w:tcPr>
            <w:tcW w:type="dxa" w:w="3276"/>
            <w:shd w:fill="014259" w:color="auto" w:val="clear"/>
            <w:tcMar>
              <w:top w:type="dxa" w:w="60"/>
              <w:left w:type="dxa" w:w="100"/>
              <w:bottom w:type="dxa" w:w="60"/>
              <w:right w:type="dxa" w:w="100"/>
            </w:tcMar>
          </w:tcPr>
          <w:p>
            <w:pPr>
              <w:pStyle w:val="SaCellHeader"/>
            </w:pPr>
            <w:r>
              <w:t xml:space="preserve">À qui</w:t>
            </w:r>
          </w:p>
        </w:tc>
        <w:tc>
          <w:tcPr>
            <w:tcW w:type="dxa" w:w="963"/>
            <w:shd w:fill="014259" w:color="auto" w:val="clear"/>
            <w:tcMar>
              <w:top w:type="dxa" w:w="60"/>
              <w:left w:type="dxa" w:w="100"/>
              <w:bottom w:type="dxa" w:w="60"/>
              <w:right w:type="dxa" w:w="100"/>
            </w:tcMar>
          </w:tcPr>
          <w:p>
            <w:pPr>
              <w:pStyle w:val="SaCellHeader"/>
            </w:pPr>
            <w:r>
              <w:t xml:space="preserve">Délai</w:t>
            </w:r>
          </w:p>
        </w:tc>
        <w:tc>
          <w:tcPr>
            <w:tcW w:type="dxa" w:w="2894"/>
            <w:shd w:fill="014259" w:color="auto" w:val="clear"/>
            <w:tcMar>
              <w:top w:type="dxa" w:w="60"/>
              <w:left w:type="dxa" w:w="100"/>
              <w:bottom w:type="dxa" w:w="60"/>
              <w:right w:type="dxa" w:w="100"/>
            </w:tcMar>
          </w:tcPr>
          <w:p>
            <w:pPr>
              <w:pStyle w:val="SaCellHeader"/>
            </w:pPr>
            <w:r>
              <w:t xml:space="preserve">Base</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Déclaration d'accident du travail</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La caisse primaire d'assurance maladie dont relève la victime</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48 h</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CSS, art. L. 441-2 et R. 441-3</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Information du CSE et enquête</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Le comité social et économique</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Code du travail, art. L. 2312-13</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Feuille d'accident remise à la victime</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Le salarié accidenté</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CSS, art. L. 441-5</w:t>
            </w:r>
          </w:p>
        </w:tc>
      </w:tr>
    </w:tbl>
    <w:p>
      <w:pPr>
        <w:pStyle w:val="SaNote"/>
      </w:pPr>
      <w:r>
        <w:t xml:space="preserve">Le délai de 48 heures se compte «non compris les dimanches et jours fériés» (R. 441-3). Un accident le vendredi soir ne se déclare donc pas forcément avant le lundi matin — mais déclarer plus tôt n'a jamais été reproché à personne.</w:t>
      </w:r>
    </w:p>
    <w:p>
      <w:pPr>
        <w:pStyle w:val="SaNote"/>
      </w:pPr>
      <w:r>
        <w:rPr>
          <w:b w:val="false"/>
          <w:bCs w:val="false"/>
        </w:rPr>
        <w:t xml:space="preserve">Ces délais sont ceux de la déclaration, pas ceux de l'enquête. Aucun texte ne fixe de délai pour analyser les causes d'un accident — et c'est précisément pour cela qu'une analyse repoussée de trois semaines est une analyse qui n'aura pas lieu. Les délais d'inaptitude, de reprise, de reclassement et de contestation de la caisse ne sont pas ici : ce sont d'autres régimes.</w:t>
      </w:r>
    </w:p>
    <w:p>
      <w:r>
        <w:br w:type="page"/>
      </w:r>
    </w:p>
    <w:p>
      <w:pPr>
        <w:pStyle w:val="SaH1"/>
      </w:pPr>
      <w:r>
        <w:t xml:space="preserve">3. La séquence des faits</w:t>
      </w:r>
    </w:p>
    <w:p>
      <w:pPr>
        <w:pStyle w:val="SaBasis"/>
      </w:pPr>
      <w:r>
        <w:t xml:space="preserve">— pratique de métier, rien ne l'impose</w:t>
      </w:r>
    </w:p>
    <w:p>
      <w:pPr>
        <w:pStyle w:val="SaBody"/>
      </w:pPr>
      <w:r>
        <w:rPr>
          <w:b w:val="false"/>
          <w:bCs w:val="false"/>
        </w:rPr>
        <w:t xml:space="preserve">Une ligne par fait, dans l'ordre, et seulement des faits. « L'opérateur était pressé » n'est pas un fait ; « l'opérateur a repris la pièce sans attendre l'arrêt du plateau » en est un. C'est cette discipline qui rend l'analyse des causes possible ensuite.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867"/>
        <w:gridCol w:w="4240"/>
        <w:gridCol w:w="2313"/>
        <w:gridCol w:w="1737"/>
      </w:tblGrid>
      <w:tr>
        <w:trPr>
          <w:tblHeader/>
        </w:trPr>
        <w:tc>
          <w:tcPr>
            <w:tcW w:type="dxa" w:w="481"/>
            <w:shd w:fill="014259" w:color="auto" w:val="clear"/>
            <w:tcMar>
              <w:top w:type="dxa" w:w="60"/>
              <w:left w:type="dxa" w:w="100"/>
              <w:bottom w:type="dxa" w:w="60"/>
              <w:right w:type="dxa" w:w="100"/>
            </w:tcMar>
          </w:tcPr>
          <w:p>
            <w:pPr>
              <w:pStyle w:val="SaCellHeader"/>
            </w:pPr>
            <w:r>
              <w:t xml:space="preserve">N°</w:t>
            </w:r>
          </w:p>
        </w:tc>
        <w:tc>
          <w:tcPr>
            <w:tcW w:type="dxa" w:w="867"/>
            <w:shd w:fill="014259" w:color="auto" w:val="clear"/>
            <w:tcMar>
              <w:top w:type="dxa" w:w="60"/>
              <w:left w:type="dxa" w:w="100"/>
              <w:bottom w:type="dxa" w:w="60"/>
              <w:right w:type="dxa" w:w="100"/>
            </w:tcMar>
          </w:tcPr>
          <w:p>
            <w:pPr>
              <w:pStyle w:val="SaCellHeader"/>
            </w:pPr>
            <w:r>
              <w:t xml:space="preserve">Heure</w:t>
            </w:r>
          </w:p>
        </w:tc>
        <w:tc>
          <w:tcPr>
            <w:tcW w:type="dxa" w:w="4240"/>
            <w:shd w:fill="014259" w:color="auto" w:val="clear"/>
            <w:tcMar>
              <w:top w:type="dxa" w:w="60"/>
              <w:left w:type="dxa" w:w="100"/>
              <w:bottom w:type="dxa" w:w="60"/>
              <w:right w:type="dxa" w:w="100"/>
            </w:tcMar>
          </w:tcPr>
          <w:p>
            <w:pPr>
              <w:pStyle w:val="SaCellHeader"/>
            </w:pPr>
            <w:r>
              <w:t xml:space="preserve">Fait constaté</w:t>
            </w:r>
          </w:p>
        </w:tc>
        <w:tc>
          <w:tcPr>
            <w:tcW w:type="dxa" w:w="2313"/>
            <w:shd w:fill="014259" w:color="auto" w:val="clear"/>
            <w:tcMar>
              <w:top w:type="dxa" w:w="60"/>
              <w:left w:type="dxa" w:w="100"/>
              <w:bottom w:type="dxa" w:w="60"/>
              <w:right w:type="dxa" w:w="100"/>
            </w:tcMar>
          </w:tcPr>
          <w:p>
            <w:pPr>
              <w:pStyle w:val="SaCellHeader"/>
            </w:pPr>
            <w:r>
              <w:t xml:space="preserve">Comment il est établi</w:t>
            </w:r>
          </w:p>
        </w:tc>
        <w:tc>
          <w:tcPr>
            <w:tcW w:type="dxa" w:w="1737"/>
            <w:shd w:fill="014259" w:color="auto" w:val="clear"/>
            <w:tcMar>
              <w:top w:type="dxa" w:w="60"/>
              <w:left w:type="dxa" w:w="100"/>
              <w:bottom w:type="dxa" w:w="60"/>
              <w:right w:type="dxa" w:w="100"/>
            </w:tcMar>
          </w:tcPr>
          <w:p>
            <w:pPr>
              <w:pStyle w:val="SaCellHeader"/>
            </w:pPr>
            <w:r>
              <w:t xml:space="preserve">Source</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colonne «comment il est établi» sépare ce qui a été vu de ce qui a été raconté. Un an plus tard, c'est la seule colonne qui permettra de savoir ce que le rapport savait vraiment.</w:t>
      </w:r>
    </w:p>
    <w:p>
      <w:pPr>
        <w:pStyle w:val="SaH1"/>
      </w:pPr>
      <w:r>
        <w:t xml:space="preserve">4. Personnes présentes et témoins</w:t>
      </w:r>
    </w:p>
    <w:p>
      <w:pPr>
        <w:pStyle w:val="SaBasis"/>
      </w:pPr>
      <w:r>
        <w:t xml:space="preserve">— pratique de métier, rien ne l'impose</w:t>
      </w:r>
    </w:p>
    <w:p>
      <w:pPr>
        <w:pStyle w:val="SaBody"/>
      </w:pPr>
      <w:r>
        <w:rPr>
          <w:b w:val="false"/>
          <w:bCs w:val="false"/>
        </w:rPr>
        <w:t xml:space="preserve">Les noms, tout de suite. Un témoin retrouvé trois semaines après a déjà reconstruit sa mémoire, et un intérimaire n'est peut-être plus là.</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1927"/>
        <w:gridCol w:w="1734"/>
        <w:gridCol w:w="1927"/>
        <w:gridCol w:w="1156"/>
        <w:gridCol w:w="2894"/>
      </w:tblGrid>
      <w:tr>
        <w:trPr>
          <w:tblHeader/>
        </w:trPr>
        <w:tc>
          <w:tcPr>
            <w:tcW w:type="dxa" w:w="1927"/>
            <w:shd w:fill="014259" w:color="auto" w:val="clear"/>
            <w:tcMar>
              <w:top w:type="dxa" w:w="60"/>
              <w:left w:type="dxa" w:w="100"/>
              <w:bottom w:type="dxa" w:w="60"/>
              <w:right w:type="dxa" w:w="100"/>
            </w:tcMar>
          </w:tcPr>
          <w:p>
            <w:pPr>
              <w:pStyle w:val="SaCellHeader"/>
            </w:pPr>
            <w:r>
              <w:t xml:space="preserve">Nom</w:t>
            </w:r>
          </w:p>
        </w:tc>
        <w:tc>
          <w:tcPr>
            <w:tcW w:type="dxa" w:w="1734"/>
            <w:shd w:fill="014259" w:color="auto" w:val="clear"/>
            <w:tcMar>
              <w:top w:type="dxa" w:w="60"/>
              <w:left w:type="dxa" w:w="100"/>
              <w:bottom w:type="dxa" w:w="60"/>
              <w:right w:type="dxa" w:w="100"/>
            </w:tcMar>
          </w:tcPr>
          <w:p>
            <w:pPr>
              <w:pStyle w:val="SaCellHeader"/>
            </w:pPr>
            <w:r>
              <w:t xml:space="preserve">Fonction</w:t>
            </w:r>
          </w:p>
        </w:tc>
        <w:tc>
          <w:tcPr>
            <w:tcW w:type="dxa" w:w="1927"/>
            <w:shd w:fill="014259" w:color="auto" w:val="clear"/>
            <w:tcMar>
              <w:top w:type="dxa" w:w="60"/>
              <w:left w:type="dxa" w:w="100"/>
              <w:bottom w:type="dxa" w:w="60"/>
              <w:right w:type="dxa" w:w="100"/>
            </w:tcMar>
          </w:tcPr>
          <w:p>
            <w:pPr>
              <w:pStyle w:val="SaCellHeader"/>
            </w:pPr>
            <w:r>
              <w:t xml:space="preserve">Présent / témoin / intervenu</w:t>
            </w:r>
          </w:p>
        </w:tc>
        <w:tc>
          <w:tcPr>
            <w:tcW w:type="dxa" w:w="1156"/>
            <w:shd w:fill="014259" w:color="auto" w:val="clear"/>
            <w:tcMar>
              <w:top w:type="dxa" w:w="60"/>
              <w:left w:type="dxa" w:w="100"/>
              <w:bottom w:type="dxa" w:w="60"/>
              <w:right w:type="dxa" w:w="100"/>
            </w:tcMar>
          </w:tcPr>
          <w:p>
            <w:pPr>
              <w:pStyle w:val="SaCellHeader"/>
            </w:pPr>
            <w:r>
              <w:t xml:space="preserve">Entendu le</w:t>
            </w:r>
          </w:p>
        </w:tc>
        <w:tc>
          <w:tcPr>
            <w:tcW w:type="dxa" w:w="2894"/>
            <w:shd w:fill="014259" w:color="auto" w:val="clear"/>
            <w:tcMar>
              <w:top w:type="dxa" w:w="60"/>
              <w:left w:type="dxa" w:w="100"/>
              <w:bottom w:type="dxa" w:w="60"/>
              <w:right w:type="dxa" w:w="100"/>
            </w:tcMar>
          </w:tcPr>
          <w:p>
            <w:pPr>
              <w:pStyle w:val="SaCellHeader"/>
            </w:pPr>
            <w:r>
              <w:t xml:space="preserve">Observations</w:t>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r>
        <w:br w:type="page"/>
      </w:r>
    </w:p>
    <w:p>
      <w:pPr>
        <w:pStyle w:val="SaH1"/>
      </w:pPr>
      <w:r>
        <w:t xml:space="preserve">5. Analyse des causes</w:t>
      </w:r>
    </w:p>
    <w:p>
      <w:pPr>
        <w:pStyle w:val="SaBasis"/>
      </w:pPr>
      <w:r>
        <w:t xml:space="preserve">— pratique de métier, rien ne l'impose</w:t>
      </w:r>
    </w:p>
    <w:p>
      <w:pPr>
        <w:pStyle w:val="SaBody"/>
      </w:pPr>
      <w:r>
        <w:rPr>
          <w:b w:val="false"/>
          <w:bCs w:val="false"/>
        </w:rPr>
        <w:t xml:space="preserve">L'arbre des causes de l'INRS est la méthode la plus répandue en France, et son principe tient en une question répétée : «qu'a-t-il fallu pour que cela arrive ?» Posée assez de fois, elle sort du geste de l'opérateur et arrive à l'organisation.</w:t>
      </w:r>
    </w:p>
    <w:p>
      <w:pPr>
        <w:pStyle w:val="SaBody"/>
      </w:pPr>
      <w:r>
        <w:rPr>
          <w:b/>
          <w:bCs/>
        </w:rPr>
        <w:t xml:space="preserve">Une cause qui n'est pas modifiable n'est pas une cause utile. «Manque d'attention» ne se corrige pas ; «pas de dispositif d'arrêt à portée du poste» se corrige.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891"/>
        <w:gridCol w:w="2313"/>
        <w:gridCol w:w="2505"/>
        <w:gridCol w:w="1448"/>
      </w:tblGrid>
      <w:tr>
        <w:trPr>
          <w:tblHeader/>
        </w:trPr>
        <w:tc>
          <w:tcPr>
            <w:tcW w:type="dxa" w:w="481"/>
            <w:shd w:fill="014259" w:color="auto" w:val="clear"/>
            <w:tcMar>
              <w:top w:type="dxa" w:w="60"/>
              <w:left w:type="dxa" w:w="100"/>
              <w:bottom w:type="dxa" w:w="60"/>
              <w:right w:type="dxa" w:w="100"/>
            </w:tcMar>
          </w:tcPr>
          <w:p>
            <w:pPr>
              <w:pStyle w:val="SaCellHeader"/>
            </w:pPr>
            <w:r>
              <w:t xml:space="preserve">N°</w:t>
            </w:r>
          </w:p>
        </w:tc>
        <w:tc>
          <w:tcPr>
            <w:tcW w:type="dxa" w:w="2891"/>
            <w:shd w:fill="014259" w:color="auto" w:val="clear"/>
            <w:tcMar>
              <w:top w:type="dxa" w:w="60"/>
              <w:left w:type="dxa" w:w="100"/>
              <w:bottom w:type="dxa" w:w="60"/>
              <w:right w:type="dxa" w:w="100"/>
            </w:tcMar>
          </w:tcPr>
          <w:p>
            <w:pPr>
              <w:pStyle w:val="SaCellHeader"/>
            </w:pPr>
            <w:r>
              <w:t xml:space="preserve">Cause identifiée</w:t>
            </w:r>
          </w:p>
        </w:tc>
        <w:tc>
          <w:tcPr>
            <w:tcW w:type="dxa" w:w="2313"/>
            <w:shd w:fill="014259" w:color="auto" w:val="clear"/>
            <w:tcMar>
              <w:top w:type="dxa" w:w="60"/>
              <w:left w:type="dxa" w:w="100"/>
              <w:bottom w:type="dxa" w:w="60"/>
              <w:right w:type="dxa" w:w="100"/>
            </w:tcMar>
          </w:tcPr>
          <w:p>
            <w:pPr>
              <w:pStyle w:val="SaCellHeader"/>
            </w:pPr>
            <w:r>
              <w:t xml:space="preserve">Niveau : technique · organisationnel · humain · encadrement</w:t>
            </w:r>
          </w:p>
        </w:tc>
        <w:tc>
          <w:tcPr>
            <w:tcW w:type="dxa" w:w="2505"/>
            <w:shd w:fill="014259" w:color="auto" w:val="clear"/>
            <w:tcMar>
              <w:top w:type="dxa" w:w="60"/>
              <w:left w:type="dxa" w:w="100"/>
              <w:bottom w:type="dxa" w:w="60"/>
              <w:right w:type="dxa" w:w="100"/>
            </w:tcMar>
          </w:tcPr>
          <w:p>
            <w:pPr>
              <w:pStyle w:val="SaCellHeader"/>
            </w:pPr>
            <w:r>
              <w:t xml:space="preserve">Ce qu'il aurait fallu pour l'empêcher</w:t>
            </w:r>
          </w:p>
        </w:tc>
        <w:tc>
          <w:tcPr>
            <w:tcW w:type="dxa" w:w="1448"/>
            <w:shd w:fill="014259" w:color="auto" w:val="clear"/>
            <w:tcMar>
              <w:top w:type="dxa" w:w="60"/>
              <w:left w:type="dxa" w:w="100"/>
              <w:bottom w:type="dxa" w:w="60"/>
              <w:right w:type="dxa" w:w="100"/>
            </w:tcMar>
          </w:tcPr>
          <w:p>
            <w:pPr>
              <w:pStyle w:val="SaCellHeader"/>
            </w:pPr>
            <w:r>
              <w:t xml:space="preserve">Figurait au DUERP ?</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dernière colonne est celle qui fait le lien avec la prévention : une cause déjà identifiée au DUERP et non traitée est une information très différente d'une cause qu'on découvre.</w:t>
      </w:r>
    </w:p>
    <w:p>
      <w:pPr>
        <w:pStyle w:val="SaH1"/>
      </w:pPr>
      <w:r>
        <w:t xml:space="preserve">6. Mesures décidées</w:t>
      </w:r>
    </w:p>
    <w:p>
      <w:pPr>
        <w:pStyle w:val="SaBasis"/>
      </w:pPr>
      <w:r>
        <w:t xml:space="preserve">— imposé par la réglementation</w:t>
      </w:r>
    </w:p>
    <w:p>
      <w:pPr>
        <w:pStyle w:val="SaBody"/>
      </w:pPr>
      <w:r>
        <w:rPr>
          <w:b w:val="false"/>
          <w:bCs w:val="false"/>
        </w:rPr>
        <w:t xml:space="preserve">R. 4121-2 fait de «toute information supplémentaire intéressant l'évaluation d'un risque» un déclencheur de mise à jour du DUERP. Un accident en est une : les mesures décidées ici rejoignent le programme annuel de prévention ou la liste d'actions du document unique, et la ligne du DUERP concernée est mise à jour.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645"/>
        <w:gridCol w:w="1133"/>
        <w:gridCol w:w="2078"/>
        <w:gridCol w:w="1322"/>
        <w:gridCol w:w="1133"/>
        <w:gridCol w:w="1327"/>
      </w:tblGrid>
      <w:tr>
        <w:trPr>
          <w:tblHeader/>
        </w:trPr>
        <w:tc>
          <w:tcPr>
            <w:tcW w:type="dxa" w:w="2645"/>
            <w:shd w:fill="014259" w:color="auto" w:val="clear"/>
            <w:tcMar>
              <w:top w:type="dxa" w:w="60"/>
              <w:left w:type="dxa" w:w="100"/>
              <w:bottom w:type="dxa" w:w="60"/>
              <w:right w:type="dxa" w:w="100"/>
            </w:tcMar>
          </w:tcPr>
          <w:p>
            <w:pPr>
              <w:pStyle w:val="SaCellHeader"/>
            </w:pPr>
            <w:r>
              <w:t xml:space="preserve">Mesure décidée</w:t>
            </w:r>
          </w:p>
        </w:tc>
        <w:tc>
          <w:tcPr>
            <w:tcW w:type="dxa" w:w="1133"/>
            <w:shd w:fill="014259" w:color="auto" w:val="clear"/>
            <w:tcMar>
              <w:top w:type="dxa" w:w="60"/>
              <w:left w:type="dxa" w:w="100"/>
              <w:bottom w:type="dxa" w:w="60"/>
              <w:right w:type="dxa" w:w="100"/>
            </w:tcMar>
          </w:tcPr>
          <w:p>
            <w:pPr>
              <w:pStyle w:val="SaCellHeader"/>
            </w:pPr>
            <w:r>
              <w:t xml:space="preserve">Cause traitée (n°)</w:t>
            </w:r>
          </w:p>
        </w:tc>
        <w:tc>
          <w:tcPr>
            <w:tcW w:type="dxa" w:w="2078"/>
            <w:shd w:fill="014259" w:color="auto" w:val="clear"/>
            <w:tcMar>
              <w:top w:type="dxa" w:w="60"/>
              <w:left w:type="dxa" w:w="100"/>
              <w:bottom w:type="dxa" w:w="60"/>
              <w:right w:type="dxa" w:w="100"/>
            </w:tcMar>
          </w:tcPr>
          <w:p>
            <w:pPr>
              <w:pStyle w:val="SaCellHeader"/>
            </w:pPr>
            <w:r>
              <w:t xml:space="preserve">Niveau : suppression · protection collective · organisation · EPI</w:t>
            </w:r>
          </w:p>
        </w:tc>
        <w:tc>
          <w:tcPr>
            <w:tcW w:type="dxa" w:w="1322"/>
            <w:shd w:fill="014259" w:color="auto" w:val="clear"/>
            <w:tcMar>
              <w:top w:type="dxa" w:w="60"/>
              <w:left w:type="dxa" w:w="100"/>
              <w:bottom w:type="dxa" w:w="60"/>
              <w:right w:type="dxa" w:w="100"/>
            </w:tcMar>
          </w:tcPr>
          <w:p>
            <w:pPr>
              <w:pStyle w:val="SaCellHeader"/>
            </w:pPr>
            <w:r>
              <w:t xml:space="preserve">Responsable</w:t>
            </w:r>
          </w:p>
        </w:tc>
        <w:tc>
          <w:tcPr>
            <w:tcW w:type="dxa" w:w="1133"/>
            <w:shd w:fill="014259" w:color="auto" w:val="clear"/>
            <w:tcMar>
              <w:top w:type="dxa" w:w="60"/>
              <w:left w:type="dxa" w:w="100"/>
              <w:bottom w:type="dxa" w:w="60"/>
              <w:right w:type="dxa" w:w="100"/>
            </w:tcMar>
          </w:tcPr>
          <w:p>
            <w:pPr>
              <w:pStyle w:val="SaCellHeader"/>
            </w:pPr>
            <w:r>
              <w:t xml:space="preserve">Échéance</w:t>
            </w:r>
          </w:p>
        </w:tc>
        <w:tc>
          <w:tcPr>
            <w:tcW w:type="dxa" w:w="1327"/>
            <w:shd w:fill="014259" w:color="auto" w:val="clear"/>
            <w:tcMar>
              <w:top w:type="dxa" w:w="60"/>
              <w:left w:type="dxa" w:w="100"/>
              <w:bottom w:type="dxa" w:w="60"/>
              <w:right w:type="dxa" w:w="100"/>
            </w:tcMar>
          </w:tcPr>
          <w:p>
            <w:pPr>
              <w:pStyle w:val="SaCellHeader"/>
            </w:pPr>
            <w:r>
              <w:t xml:space="preserve">Reportée au DUERP le</w:t>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Suivi et clôture</w:t>
      </w:r>
    </w:p>
    <w:p>
      <w:pPr>
        <w:pStyle w:val="SaBasis"/>
      </w:pPr>
      <w:r>
        <w:t xml:space="preserve">— imposé par la réglementation</w:t>
      </w:r>
    </w:p>
    <w:p>
      <w:pPr>
        <w:pStyle w:val="SaBody"/>
      </w:pPr>
      <w:r>
        <w:rPr>
          <w:b w:val="false"/>
          <w:bCs w:val="false"/>
        </w:rPr>
        <w:t xml:space="preserve">Une enquête se clôt quand les mesures sont faites et vérifiées, pas quand le rapport est écrit. Les deux dates sont différentes et c'est la seconde qui compte.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Déclaration à la caisse effectuée dans le délai, par un moyen conférant date certaine.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Feuille d'accident remise à la victime.</w:t>
            </w:r>
          </w:p>
          <w:p>
            <w:pPr>
              <w:pStyle w:val="SaHint"/>
            </w:pPr>
            <w:r>
              <w:t xml:space="preserve">CSS, art. L. 441-5.</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CSE informé, et enquête menée avec lui le cas échéant.</w:t>
            </w:r>
          </w:p>
          <w:p>
            <w:pPr>
              <w:pStyle w:val="SaHint"/>
            </w:pPr>
            <w:r>
              <w:t xml:space="preserve">Code du travail, art. L. 2312-13.</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DUERP mis à jour sur les lignes concernées.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Mesures immédiates prises avant la reprise du poste.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Efficacité des mesures vérifiée sur le terrain, à une date fixée.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Retour d'expérience diffusé aux autres postes exposés au même risque.</w:t>
            </w:r>
          </w:p>
        </w:tc>
      </w:tr>
    </w:tbl>
    <w:p>
      <w:pPr>
        <w:pStyle w:val="SaChrome"/>
      </w:pPr>
    </w:p>
    <w:p>
      <w:pPr>
        <w:pStyle w:val="SaH1"/>
      </w:pPr>
      <w:r>
        <w:t xml:space="preserve">8. Signatures</w:t>
      </w:r>
    </w:p>
    <w:p>
      <w:pPr>
        <w:pStyle w:val="SaBasis"/>
      </w:pPr>
      <w:r>
        <w:t xml:space="preserve">— pratique de métier, rien ne l'impose</w:t>
      </w:r>
    </w:p>
    <w:p>
      <w:pPr>
        <w:pStyle w:val="SaBody"/>
      </w:pPr>
      <w:r>
        <w:rPr>
          <w:b w:val="false"/>
          <w:bCs w:val="false"/>
        </w:rPr>
        <w:t xml:space="preserve">La signature atteste que l'enquête a été menée ainsi et que ce sont les conclusions retenues. Elle n'attribue aucune responsabilité.</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L'employeur ou son représentant</w:t>
            </w:r>
          </w:p>
          <w:p>
            <w:pPr>
              <w:pStyle w:val="SaHint"/>
            </w:pPr>
            <w:r>
              <w:t xml:space="preserve">Nom, fonction, date</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 ou les enquêteurs</w:t>
            </w:r>
          </w:p>
          <w:p>
            <w:pPr>
              <w:pStyle w:val="SaHint"/>
            </w:pPr>
            <w:r>
              <w:t xml:space="preserve">Nom, fonction, date</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Pour le CSE</w:t>
            </w:r>
          </w:p>
          <w:p>
            <w:pPr>
              <w:pStyle w:val="SaHint"/>
            </w:pPr>
            <w:r>
              <w:t xml:space="preserve">Nom, date — le cas échéant</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CSS, art. L. 441-2 — déclaration de l'accident par l'employeur — </w:t>
      </w:r>
      <w:hyperlink w:history="1" r:id="rIdugchjpcpjjb64ofrx4i-0">
        <w:r>
          <w:rPr>
            <w:color w:val="005674"/>
            <w:u w:val="single"/>
          </w:rPr>
          <w:t xml:space="preserve">https://www.legifrance.gouv.fr/codes/article_lc/LEGIARTI000006743085</w:t>
        </w:r>
      </w:hyperlink>
    </w:p>
    <w:p>
      <w:pPr>
        <w:pStyle w:val="ListParagraph"/>
        <w:pStyle w:val="SaNote"/>
        <w:numPr>
          <w:ilvl w:val="0"/>
          <w:numId w:val="1"/>
        </w:numPr>
      </w:pPr>
      <w:r>
        <w:t xml:space="preserve">CSS, art. R. 441-3 — quarante-huit heures, dimanches et jours fériés non compris — </w:t>
      </w:r>
      <w:hyperlink w:history="1" r:id="rIdqekna5ayf5xr8h89_usdt">
        <w:r>
          <w:rPr>
            <w:color w:val="005674"/>
            <w:u w:val="single"/>
          </w:rPr>
          <w:t xml:space="preserve">https://www.legifrance.gouv.fr/codes/article_lc/LEGIARTI000038423383</w:t>
        </w:r>
      </w:hyperlink>
    </w:p>
    <w:p>
      <w:pPr>
        <w:pStyle w:val="ListParagraph"/>
        <w:pStyle w:val="SaNote"/>
        <w:numPr>
          <w:ilvl w:val="0"/>
          <w:numId w:val="1"/>
        </w:numPr>
      </w:pPr>
      <w:r>
        <w:t xml:space="preserve">CSS, art. L. 441-5 — feuille d'accident — </w:t>
      </w:r>
      <w:hyperlink w:history="1" r:id="rIdz97ta7ypds1d5okqjne6s">
        <w:r>
          <w:rPr>
            <w:color w:val="005674"/>
            <w:u w:val="single"/>
          </w:rPr>
          <w:t xml:space="preserve">https://www.legifrance.gouv.fr/codes/article_lc/LEGIARTI000006743088</w:t>
        </w:r>
      </w:hyperlink>
    </w:p>
    <w:p>
      <w:pPr>
        <w:pStyle w:val="ListParagraph"/>
        <w:pStyle w:val="SaNote"/>
        <w:numPr>
          <w:ilvl w:val="0"/>
          <w:numId w:val="1"/>
        </w:numPr>
      </w:pPr>
      <w:r>
        <w:t xml:space="preserve">Code du travail, art. L. 2312-13 — enquêtes du CSE — </w:t>
      </w:r>
      <w:hyperlink w:history="1" r:id="rId9kpsmrejx1itpzej-dsrv">
        <w:r>
          <w:rPr>
            <w:color w:val="005674"/>
            <w:u w:val="single"/>
          </w:rPr>
          <w:t xml:space="preserve">https://www.legifrance.gouv.fr/codes/article_lc/LEGIARTI000035609774</w:t>
        </w:r>
      </w:hyperlink>
    </w:p>
    <w:p>
      <w:pPr>
        <w:pStyle w:val="SaNote"/>
      </w:pPr>
      <w:r>
        <w:rPr>
          <w:b w:val="false"/>
          <w:bCs w:val="false"/>
        </w:rPr>
        <w:t xml:space="preserve">Contenu relu le 2026-09-08 · La page de ce modèle — https://safeally.net/fr-fr/modeles/rapport-enquete-accident-du-travail/</w:t>
      </w:r>
    </w:p>
    <w:p>
      <w:pPr>
        <w:pStyle w:val="SaNote"/>
      </w:pPr>
      <w:r>
        <w:rPr>
          <w:b w:val="false"/>
          <w:bCs w:val="false"/>
        </w:rPr>
        <w:t xml:space="preserve">SafeAlly — safeally.net · gratuit, sans compte, document modifiable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Contenu relu le 2026-09-08 · safeally.net</w:t>
    </w:r>
    <w:r>
      <w:t xml:space="preserve">	</w:t>
      <w:t xml:space="preserve">Page </w:t>
      <w:fldChar w:fldCharType="begin"/>
      <w:instrText xml:space="preserve">PAGE</w:instrText>
      <w:fldChar w:fldCharType="separate"/>
      <w:fldChar w:fldCharType="end"/>
    </w:r>
    <w:r>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Enquête accident — n° …………… — survenu le ……/……/……… à ……h……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legifrance.gouv.fr/codes/article_lc/LEGIARTI000006743085" TargetMode="External"/><Relationship Id="rIdqekna5ayf5xr8h89_usdt" Type="http://schemas.openxmlformats.org/officeDocument/2006/relationships/hyperlink" Target="https://www.legifrance.gouv.fr/codes/article_lc/LEGIARTI000038423383" TargetMode="External"/><Relationship Id="rIdz97ta7ypds1d5okqjne6s" Type="http://schemas.openxmlformats.org/officeDocument/2006/relationships/hyperlink" Target="https://www.legifrance.gouv.fr/codes/article_lc/LEGIARTI000006743088" TargetMode="External"/><Relationship Id="rId9kpsmrejx1itpzej-dsrv" Type="http://schemas.openxmlformats.org/officeDocument/2006/relationships/hyperlink" Target="https://www.legifrance.gouv.fr/codes/article_lc/LEGIARTI00003560977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d'enquête après accident du travail</dc:title>
  <dc:subject>Trame de rapport d'enquête après accident du travail — France. SafeAlly, safeally.net.</dc:subject>
  <dc:creator>SafeAlly — safeally.net</dc:creator>
  <dc:description>Trame de rapport d'enquête après accident du travail — France.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