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Rapporto di indagine sull'infortunio</w:t>
      </w:r>
    </w:p>
    <w:p>
      <w:pPr>
        <w:pStyle w:val="SaSubtitle"/>
      </w:pPr>
      <w:r>
        <w:t xml:space="preserve">Italia — D.Lgs. 81/2008. L'orologio principale parte dal certificato medico, non dall'evento: sezione 2.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Che cosa non è questo rapporto</w:t>
            </w:r>
          </w:p>
          <w:p>
            <w:pPr>
              <w:pStyle w:val="SaCell"/>
            </w:pPr>
            <w:r>
              <w:t xml:space="preserve">Non è una caccia al responsabile. Un rapporto che finisce con un nome è finito troppo presto: la domanda utile non è chi ha sbagliato, ma perché l'errore era possibile e perché nulla lo ha fermato. E non è la denuncia all'assicuratore, che è un adempimento distinto con un canale proprio. Nessuna parte di questo testo è un parere legale.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Identificazione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Compilare questa sezione prima dell'analisi, mentre i fatti sono freschi. I termini della sezione 2 decorrono da date che stanno qui — e una di esse non è la data dell'evento.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Lavoratore infortunato — nome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Mansione e anzianità nella mansione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Rapporto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[dipendente · determinato · somministrazione · apprendista · appalto]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Data e ora dell'infortunio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Data di ricezione del certificato medico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[da qui decorrono le 48 ore dell'art. 18]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Luogo preciso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Lavorazione in corso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Mansione del DVR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Natura delle lesioni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Giorni di assenza previsti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[almeno un giorno oltre quello dell'evento? decide l'obbligo]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I termini che decorrono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L'Italia è l'unica dei cinque Paesi in cui l'orologio principale non parte dall'infortunio: parte dalla **ricezione del certificato medico**. Chi calcola quarantotto ore dall'evento sbaglia, e nella direzione sbagliata.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3276"/>
        <w:gridCol w:w="963"/>
        <w:gridCol w:w="2894"/>
      </w:tblGrid>
      <w:tr>
        <w:trPr>
          <w:tblHeader/>
        </w:trPr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Obbligo</w:t>
            </w:r>
          </w:p>
        </w:tc>
        <w:tc>
          <w:tcPr>
            <w:tcW w:type="dxa" w:w="327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Verso chi</w:t>
            </w:r>
          </w:p>
        </w:tc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Termine</w:t>
            </w:r>
          </w:p>
        </w:tc>
        <w:tc>
          <w:tcPr>
            <w:tcW w:type="dxa" w:w="289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Base</w:t>
            </w:r>
          </w:p>
        </w:tc>
      </w:tr>
      <w:t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Comunicazione dei dati dell'infortunio a fini statistici</w:t>
            </w:r>
          </w:p>
        </w:tc>
        <w:tc>
          <w:tcPr>
            <w:tcW w:type="dxa" w:w="327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INAIL, per via telematica</w:t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48 h</w:t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D.Lgs. 81/2008, art. 18 comma 1 lettera r</w:t>
            </w:r>
          </w:p>
        </w:tc>
      </w:tr>
      <w:t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Rielaborazione del DVR dopo un infortunio significativo</w:t>
            </w:r>
          </w:p>
        </w:tc>
        <w:tc>
          <w:tcPr>
            <w:tcW w:type="dxa" w:w="327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Il documento di valutazione dei rischi</w:t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30 j</w:t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D.Lgs. 81/2008, art. 29 comma 3</w:t>
            </w:r>
          </w:p>
        </w:tc>
      </w:tr>
      <w:t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Comunicazione immediata al RLS dell'aggiornamento delle misure</w:t>
            </w:r>
          </w:p>
        </w:tc>
        <w:tc>
          <w:tcPr>
            <w:tcW w:type="dxa" w:w="327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Il rappresentante dei lavoratori per la sicurezza</w:t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—</w:t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D.Lgs. 81/2008, art. 29 comma 3</w:t>
            </w:r>
          </w:p>
        </w:tc>
      </w:tr>
    </w:tbl>
    <w:p>
      <w:pPr>
        <w:pStyle w:val="SaNote"/>
      </w:pPr>
      <w:r>
        <w:t xml:space="preserve">Le 48 ore dell'art. 18 comma 1 lettera r decorrono «dalla ricezione del certificato medico», non dall'infortunio. È l'unico dei cinque Paesi in cui l'orologio principale parte da un documento e non dall'evento, e calcolarlo dall'evento è l'errore più comune — nella direzione sbagliata.</w:t>
      </w:r>
    </w:p>
    <w:p>
      <w:pPr>
        <w:pStyle w:val="SaNote"/>
      </w:pPr>
      <w:r>
        <w:rPr>
          <w:b w:val="false"/>
          <w:bCs w:val="false"/>
        </w:rPr>
        <w:t xml:space="preserve">La denuncia di infortunio all'assicuratore pubblico segue una propria disciplina e un proprio termine, che non è calcolato qui: sarebbe una data letta da una fonte secondaria, e su una scadenza non è accettabile. Il termine di trenta giorni dell'art. 29 comma 3, invece, è nel decreto e riguarda il documento — è l'unico caso fra i cinque Paesi in cui un infortunio fa scattare per legge la revisione della valutazione entro un numero di giorni.</w:t>
      </w:r>
    </w:p>
    <w:p>
      <w:r>
        <w:br w:type="page"/>
      </w:r>
    </w:p>
    <w:p>
      <w:pPr>
        <w:pStyle w:val="SaH1"/>
      </w:pPr>
      <w:r>
        <w:t xml:space="preserve">3. Sequenza dei fatti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Una riga per fatto, in ordine, e solo fatti. «L'operatore aveva fretta» non è un fatto; «l'operatore ha introdotto la mano prima dell'arresto della tavola» lo è. È questa disciplina che rende possibile l'analisi delle cause.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867"/>
        <w:gridCol w:w="4240"/>
        <w:gridCol w:w="2313"/>
        <w:gridCol w:w="1737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</w:t>
            </w:r>
          </w:p>
        </w:tc>
        <w:tc>
          <w:tcPr>
            <w:tcW w:type="dxa" w:w="86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Ora</w:t>
            </w:r>
          </w:p>
        </w:tc>
        <w:tc>
          <w:tcPr>
            <w:tcW w:type="dxa" w:w="424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Fatto accertato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Come è accertato</w:t>
            </w:r>
          </w:p>
        </w:tc>
        <w:tc>
          <w:tcPr>
            <w:tcW w:type="dxa" w:w="173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Fonte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colonna «come è accertato» separa il visto dal riferito. A un anno di distanza è l'unica colonna che dice cosa il rapporto sapeva davvero.</w:t>
      </w:r>
    </w:p>
    <w:p>
      <w:pPr>
        <w:pStyle w:val="SaH1"/>
      </w:pPr>
      <w:r>
        <w:t xml:space="preserve">4. Presenti e testimoni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I nomi, subito. Un testimone rintracciato tre settimane dopo ha già ricostruito il ricordo, e un lavoratore in somministrazione può non esserci più.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927"/>
        <w:gridCol w:w="1734"/>
        <w:gridCol w:w="1927"/>
        <w:gridCol w:w="1156"/>
        <w:gridCol w:w="2894"/>
      </w:tblGrid>
      <w:tr>
        <w:trPr>
          <w:tblHeader/>
        </w:trPr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Nome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Ruolo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Presente / testimone / soccorritore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Sentito il</w:t>
            </w:r>
          </w:p>
        </w:tc>
        <w:tc>
          <w:tcPr>
            <w:tcW w:type="dxa" w:w="289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Osservazioni</w:t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r>
        <w:br w:type="page"/>
      </w:r>
    </w:p>
    <w:p>
      <w:pPr>
        <w:pStyle w:val="SaH1"/>
      </w:pPr>
      <w:r>
        <w:t xml:space="preserve">5. Analisi delle cause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La domanda che porta lontano non è «chi», ma «cosa è dovuto succedere insieme». Posta abbastanza volte, esce dal gesto della persona e arriva all'organizzazione — che è dove l'art. 15 mette la priorità delle misure.</w:t>
      </w:r>
    </w:p>
    <w:p>
      <w:pPr>
        <w:pStyle w:val="SaBody"/>
      </w:pPr>
      <w:r>
        <w:rPr>
          <w:b/>
          <w:bCs/>
        </w:rPr>
        <w:t xml:space="preserve">Una causa che non si può cambiare non è una causa utile. «Disattenzione» non si corregge; «nessun comando di arresto a portata della postazione» si corregge.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891"/>
        <w:gridCol w:w="2313"/>
        <w:gridCol w:w="2505"/>
        <w:gridCol w:w="1448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</w:t>
            </w:r>
          </w:p>
        </w:tc>
        <w:tc>
          <w:tcPr>
            <w:tcW w:type="dxa" w:w="289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Causa individuata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Livello: tecnico · organizzativo · umano · preposto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Cosa lo avrebbe evitato</w:t>
            </w:r>
          </w:p>
        </w:tc>
        <w:tc>
          <w:tcPr>
            <w:tcW w:type="dxa" w:w="144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Era nel DVR?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L'ultima colonna è il collegamento con la prevenzione: una causa già valutata e non trattata è un'informazione molto diversa da una che si scopre.</w:t>
      </w:r>
    </w:p>
    <w:p>
      <w:pPr>
        <w:pStyle w:val="SaH1"/>
      </w:pPr>
      <w:r>
        <w:t xml:space="preserve">6. Misure decise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Un infortunio significativo fa scattare l'art. 29 comma 3: la valutazione va rielaborata immediatamente e il documento **entro trenta giorni** dalla causale. Le misure decise qui alimentano quindi la rielaborazione, e la colonna finale serve a datarla.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645"/>
        <w:gridCol w:w="1133"/>
        <w:gridCol w:w="2078"/>
        <w:gridCol w:w="1322"/>
        <w:gridCol w:w="1133"/>
        <w:gridCol w:w="1327"/>
      </w:tblGrid>
      <w:tr>
        <w:trPr>
          <w:tblHeader/>
        </w:trPr>
        <w:tc>
          <w:tcPr>
            <w:tcW w:type="dxa" w:w="264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Misura decisa</w:t>
            </w:r>
          </w:p>
        </w:tc>
        <w:tc>
          <w:tcPr>
            <w:tcW w:type="dxa" w:w="113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Causa trattata (n.)</w:t>
            </w:r>
          </w:p>
        </w:tc>
        <w:tc>
          <w:tcPr>
            <w:tcW w:type="dxa" w:w="207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Livello: eliminazione · tecnico · organizzativo · DPI</w:t>
            </w:r>
          </w:p>
        </w:tc>
        <w:tc>
          <w:tcPr>
            <w:tcW w:type="dxa" w:w="132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Responsabile</w:t>
            </w:r>
          </w:p>
        </w:tc>
        <w:tc>
          <w:tcPr>
            <w:tcW w:type="dxa" w:w="113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Termine</w:t>
            </w:r>
          </w:p>
        </w:tc>
        <w:tc>
          <w:tcPr>
            <w:tcW w:type="dxa" w:w="13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DVR rielaborato il</w:t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7. Seguito e chiusura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Un'indagine si chiude quando le misure sono attuate e verificate, non quando il rapporto è scritto. Due date diverse, e conta la seconda.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Dati dell'infortunio comunicati per via telematica entro 48 ore dalla ricezione del certificato medico.</w:t>
            </w:r>
          </w:p>
          <w:p>
            <w:pPr>
              <w:pStyle w:val="SaHint"/>
            </w:pPr>
            <w:r>
              <w:t xml:space="preserve">Art. 18 comma 1 lettera r.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Denuncia all'assicuratore pubblico effettuata secondo la disciplina propria.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RLS informato immediatamente dell'aggiornamento delle misure.</w:t>
            </w:r>
          </w:p>
          <w:p>
            <w:pPr>
              <w:pStyle w:val="SaHint"/>
            </w:pPr>
            <w:r>
              <w:t xml:space="preserve">Art. 29 comma 3, ultima parte.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Medico competente e RSPP coinvolti nell'analisi.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DVR rielaborato entro trenta giorni, se la causale lo richiede.</w:t>
            </w:r>
          </w:p>
          <w:p>
            <w:pPr>
              <w:pStyle w:val="SaHint"/>
            </w:pPr>
            <w:r>
              <w:t xml:space="preserve">Art. 29 comma 3.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Misure immediate attuate prima della ripresa della lavorazione.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Tema portato alla riunione periodica.</w:t>
            </w:r>
          </w:p>
          <w:p>
            <w:pPr>
              <w:pStyle w:val="SaHint"/>
            </w:pPr>
            <w:r>
              <w:t xml:space="preserve">Art. 35: l'andamento degli infortuni è all'ordine del giorno.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Efficacia verificata a una data stabilita.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8. Firme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La firma attesta che l'indagine è stata condotta così e che queste sono le conclusioni. Non attribuisce alcuna responsabilità.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Il datore di lavoro</w:t>
            </w:r>
          </w:p>
          <w:p>
            <w:pPr>
              <w:pStyle w:val="SaHint"/>
            </w:pPr>
            <w:r>
              <w:t xml:space="preserve">Nome, ruolo, data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Chi ha condotto l'indagine</w:t>
            </w:r>
          </w:p>
          <w:p>
            <w:pPr>
              <w:pStyle w:val="SaHint"/>
            </w:pPr>
            <w:r>
              <w:t xml:space="preserve">Nome, ruolo, data</w:t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Il RLS</w:t>
            </w:r>
          </w:p>
          <w:p>
            <w:pPr>
              <w:pStyle w:val="SaHint"/>
            </w:pPr>
            <w:r>
              <w:t xml:space="preserve">Nome, data</w:t>
            </w:r>
          </w:p>
        </w:tc>
      </w:tr>
      <w:tr>
        <w:trPr>
          <w:trHeight w:val="1100" w:hRule="atLeast"/>
        </w:trPr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Fonti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18 comma 1 lettera r — comunicazione dei dati all'INAIL — </w:t>
      </w:r>
      <w:hyperlink w:history="1" r:id="rIdugchjpcpjjb64ofrx4i-0">
        <w:r>
          <w:rPr>
            <w:color w:val="005674"/>
            <w:u w:val="single"/>
          </w:rPr>
          <w:t xml:space="preserve">https://www.normattiva.it/uri-res/N2Ls?urn:nir:stato:decreto.legislativo:2008-04-09;81~art18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29 — rielaborazione entro trenta giorni — </w:t>
      </w:r>
      <w:hyperlink w:history="1" r:id="rIdqekna5ayf5xr8h89_usdt">
        <w:r>
          <w:rPr>
            <w:color w:val="005674"/>
            <w:u w:val="single"/>
          </w:rPr>
          <w:t xml:space="preserve">https://www.normattiva.it/uri-res/N2Ls?urn:nir:stato:decreto.legislativo:2008-04-09;81~art29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35 — riunione periodica — </w:t>
      </w:r>
      <w:hyperlink w:history="1" r:id="rIdz97ta7ypds1d5okqjne6s">
        <w:r>
          <w:rPr>
            <w:color w:val="005674"/>
            <w:u w:val="single"/>
          </w:rPr>
          <w:t xml:space="preserve">https://www.normattiva.it/uri-res/N2Ls?urn:nir:stato:decreto.legislativo:2008-04-09;81~art35</w:t>
        </w:r>
      </w:hyperlink>
    </w:p>
    <w:p>
      <w:pPr>
        <w:pStyle w:val="SaNote"/>
      </w:pPr>
      <w:r>
        <w:rPr>
          <w:b w:val="false"/>
          <w:bCs w:val="false"/>
        </w:rPr>
        <w:t xml:space="preserve">Contenuto rivisto il 2026-09-08 · La pagina di questo modello — https://safeally.net/it-it/modelli/rapporto-indagine-infortunio/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senza account, documento modificabile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Contenuto rivisto il 2026-09-08 · safeally.net</w:t>
    </w:r>
    <w:r>
      <w:t xml:space="preserve">	</w:t>
      <w:t xml:space="preserve">Pagina </w:t>
      <w:fldChar w:fldCharType="begin"/>
      <w:instrText xml:space="preserve">PAGE</w:instrText>
      <w:fldChar w:fldCharType="separate"/>
      <w:fldChar w:fldCharType="end"/>
    </w:r>
    <w:r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Indagine infortunio — n. …………… — avvenuto il ……/……/……… alle ……:……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normattiva.it/uri-res/N2Ls?urn:nir:stato:decreto.legislativo:2008-04-09;81~art18" TargetMode="External"/><Relationship Id="rIdqekna5ayf5xr8h89_usdt" Type="http://schemas.openxmlformats.org/officeDocument/2006/relationships/hyperlink" Target="https://www.normattiva.it/uri-res/N2Ls?urn:nir:stato:decreto.legislativo:2008-04-09;81~art29" TargetMode="External"/><Relationship Id="rIdz97ta7ypds1d5okqjne6s" Type="http://schemas.openxmlformats.org/officeDocument/2006/relationships/hyperlink" Target="https://www.normattiva.it/uri-res/N2Ls?urn:nir:stato:decreto.legislativo:2008-04-09;81~art3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di indagine sull'infortunio</dc:title>
  <dc:subject>Rapporto in bianco di indagine su un infortunio sul lavoro — Italia. SafeAlly, safeally.net.</dc:subject>
  <dc:creator>SafeAlly — safeally.net</dc:creator>
  <dc:description>Rapporto in bianco di indagine su un infortunio sul lavoro — Italia.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