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Nachweis über die Ausgabe persönlicher Schutzausrüstung</w:t>
      </w:r>
    </w:p>
    <w:p>
      <w:pPr>
        <w:pStyle w:val="SaSubtitle"/>
      </w:pPr>
      <w:r>
        <w:t xml:space="preserve">Deutschland — PSA-Benutzungsverordnung §§ 1 bis 3, ArbSchG §§ 3, 4 und 12</w:t>
      </w:r>
    </w:p>
    <w:tbl>
      <w:tblPr>
        <w:tblW w:type="dxa" w:w="9638"/>
        <w:tblBorders>
          <w:top w:val="single" w:color="FFC250" w:sz="8"/>
          <w:left w:val="single" w:color="FFC250" w:sz="8"/>
          <w:bottom w:val="single" w:color="FFC250" w:sz="8"/>
          <w:right w:val="single" w:color="FFC250" w:sz="8"/>
          <w:insideH w:val="none" w:color="auto" w:sz="0"/>
          <w:insideV w:val="none" w:color="auto" w:sz="0"/>
        </w:tblBorders>
      </w:tblPr>
      <w:tblGrid>
        <w:gridCol w:w="9638"/>
      </w:tblGrid>
      <w:tr>
        <w:tc>
          <w:tcPr>
            <w:tcW w:type="dxa" w:w="9638"/>
            <w:shd w:fill="FFEED3" w:color="auto" w:val="clear"/>
            <w:tcMar>
              <w:top w:type="dxa" w:w="160"/>
              <w:left w:type="dxa" w:w="200"/>
              <w:bottom w:type="dxa" w:w="160"/>
              <w:right w:type="dxa" w:w="200"/>
            </w:tcMar>
          </w:tcPr>
          <w:p>
            <w:pPr>
              <w:pStyle w:val="SaCell"/>
            </w:pPr>
            <w:r>
              <w:rPr>
                <w:b/>
                <w:bCs/>
              </w:rPr>
              <w:t xml:space="preserve">Was dieser Nachweis nicht ist</w:t>
            </w:r>
          </w:p>
          <w:p>
            <w:pPr>
              <w:pStyle w:val="SaCell"/>
            </w:pPr>
            <w:r>
              <w:t xml:space="preserve">Keine Haftungsfreistellung. Eine Unterschrift belegt Ausgabe und Unterweisung; sie verlagert nichts. § 4 Nr. 5 ArbSchG stellt individuelle Schutzmaßnahmen ausdrücklich hinter alle anderen, und § 3 Abs. 3 verbietet, die Kosten den Beschäftigten aufzuerlegen. Ein gegen Unterschrift ausgegebener Gehörschutz an einer Maschine, die man hätte kapseln können, bleibt ein Mangel. Keine Rechtsberatung.</w:t>
            </w:r>
          </w:p>
        </w:tc>
      </w:tr>
    </w:tbl>
    <w:p>
      <w:pPr>
        <w:pStyle w:val="SaChrome"/>
      </w:pPr>
    </w:p>
    <w:p>
      <w:pPr>
        <w:pStyle w:val="SaBody"/>
      </w:pPr>
      <w:r>
        <w:rPr>
          <w:b w:val="false"/>
          <w:bCs w:val="false"/>
        </w:rPr>
        <w:t xml:space="preserve">Die grau hinterlegten Felder sind auszufüllen. Angaben in eckigen Klammern sind Beispiele — bitte ersetzen. Das Dokument ist bearbeitbar: Streichen Sie, was auf Sie nicht zutrifft, lesen Sie aber zuvor den Hinweis zu jedem Abschnitt.</w:t>
      </w:r>
    </w:p>
    <w:p>
      <w:pPr>
        <w:pStyle w:val="SaH1"/>
      </w:pPr>
      <w:r>
        <w:t xml:space="preserve">1. Beschäftigte Person und Tätigkeit</w:t>
      </w:r>
    </w:p>
    <w:p>
      <w:pPr>
        <w:pStyle w:val="SaBasis"/>
      </w:pPr>
      <w:r>
        <w:t xml:space="preserve">— betriebliche Praxis, nicht vorgeschrieben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505"/>
        <w:gridCol w:w="2313"/>
        <w:gridCol w:w="2505"/>
        <w:gridCol w:w="2315"/>
      </w:tblGrid>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Name, Vorname</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Personalnummer</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Tätigkeit</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Bereich oder Standort</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Tätig ab</w:t>
            </w:r>
          </w:p>
        </w:tc>
        <w:tc>
          <w:tcPr>
            <w:tcW w:type="dxa" w:w="231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Vorgesetzte Person</w:t>
            </w:r>
          </w:p>
        </w:tc>
        <w:tc>
          <w:tcPr>
            <w:tcW w:type="dxa" w:w="231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05"/>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Zugehörige Tätigkeit der Gefährdungsbeurteilung</w:t>
            </w:r>
          </w:p>
        </w:tc>
        <w:tc>
          <w:tcPr>
            <w:tcW w:type="dxa" w:w="7133"/>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[stellt die Verbindung zu § 5 ArbSchG her]</w:t>
            </w:r>
          </w:p>
        </w:tc>
      </w:tr>
    </w:tbl>
    <w:p>
      <w:pPr>
        <w:pStyle w:val="SaChrome"/>
      </w:pPr>
    </w:p>
    <w:p>
      <w:pPr>
        <w:pStyle w:val="SaH1"/>
      </w:pPr>
      <w:r>
        <w:t xml:space="preserve">2. Gefährdungen, gegen die ausgegeben wird</w:t>
      </w:r>
    </w:p>
    <w:p>
      <w:pPr>
        <w:pStyle w:val="SaBasis"/>
      </w:pPr>
      <w:r>
        <w:t xml:space="preserve">— rechtlich vorgeschrieben</w:t>
      </w:r>
    </w:p>
    <w:p>
      <w:pPr>
        <w:pStyle w:val="SaBody"/>
      </w:pPr>
      <w:r>
        <w:rPr>
          <w:b w:val="false"/>
          <w:bCs w:val="false"/>
        </w:rPr>
        <w:t xml:space="preserve">PSA folgt aus der Gefährdungsbeurteilung, nicht aus einem Katalog. § 4 Nr. 2 ArbSchG verlangt, Gefahren an ihrer Quelle zu bekämpfen, und Nr. 5 stellt individuelle Schutzmaßnahmen nachrangig. Diese Tabelle macht sichtbar, ob die Rangfolge eingehalten wurde.</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891"/>
        <w:gridCol w:w="1734"/>
        <w:gridCol w:w="2505"/>
        <w:gridCol w:w="2508"/>
      </w:tblGrid>
      <w:tr>
        <w:trPr>
          <w:tblHeader/>
        </w:trPr>
        <w:tc>
          <w:tcPr>
            <w:tcW w:type="dxa" w:w="2891"/>
            <w:shd w:fill="014259" w:color="auto" w:val="clear"/>
            <w:tcMar>
              <w:top w:type="dxa" w:w="60"/>
              <w:left w:type="dxa" w:w="100"/>
              <w:bottom w:type="dxa" w:w="60"/>
              <w:right w:type="dxa" w:w="100"/>
            </w:tcMar>
          </w:tcPr>
          <w:p>
            <w:pPr>
              <w:pStyle w:val="SaCellHeader"/>
            </w:pPr>
            <w:r>
              <w:t xml:space="preserve">Gefährdung aus der Beurteilung</w:t>
            </w:r>
          </w:p>
        </w:tc>
        <w:tc>
          <w:tcPr>
            <w:tcW w:type="dxa" w:w="1734"/>
            <w:shd w:fill="014259" w:color="auto" w:val="clear"/>
            <w:tcMar>
              <w:top w:type="dxa" w:w="60"/>
              <w:left w:type="dxa" w:w="100"/>
              <w:bottom w:type="dxa" w:w="60"/>
              <w:right w:type="dxa" w:w="100"/>
            </w:tcMar>
          </w:tcPr>
          <w:p>
            <w:pPr>
              <w:pStyle w:val="SaCellHeader"/>
            </w:pPr>
            <w:r>
              <w:t xml:space="preserve">Betroffener Körperteil</w:t>
            </w:r>
          </w:p>
        </w:tc>
        <w:tc>
          <w:tcPr>
            <w:tcW w:type="dxa" w:w="2505"/>
            <w:shd w:fill="014259" w:color="auto" w:val="clear"/>
            <w:tcMar>
              <w:top w:type="dxa" w:w="60"/>
              <w:left w:type="dxa" w:w="100"/>
              <w:bottom w:type="dxa" w:w="60"/>
              <w:right w:type="dxa" w:w="100"/>
            </w:tcMar>
          </w:tcPr>
          <w:p>
            <w:pPr>
              <w:pStyle w:val="SaCellHeader"/>
            </w:pPr>
            <w:r>
              <w:t xml:space="preserve">Technische und organisatorische Maßnahmen</w:t>
            </w:r>
          </w:p>
        </w:tc>
        <w:tc>
          <w:tcPr>
            <w:tcW w:type="dxa" w:w="2508"/>
            <w:shd w:fill="014259" w:color="auto" w:val="clear"/>
            <w:tcMar>
              <w:top w:type="dxa" w:w="60"/>
              <w:left w:type="dxa" w:w="100"/>
              <w:bottom w:type="dxa" w:w="60"/>
              <w:right w:type="dxa" w:w="100"/>
            </w:tcMar>
          </w:tcPr>
          <w:p>
            <w:pPr>
              <w:pStyle w:val="SaCellHeader"/>
            </w:pPr>
            <w:r>
              <w:t xml:space="preserve">Warum PSA weiterhin nötig ist</w:t>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0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«Restpegel 87 dB(A) nach Kapselung der Presse» ist eine Antwort. «Tragepflicht laut Betriebsanweisung» ist keine.</w:t>
      </w:r>
    </w:p>
    <w:p>
      <w:pPr>
        <w:pStyle w:val="SaH1"/>
      </w:pPr>
      <w:r>
        <w:t xml:space="preserve">3. Ausgegebene Ausrüstung</w:t>
      </w:r>
    </w:p>
    <w:p>
      <w:pPr>
        <w:pStyle w:val="SaBasis"/>
      </w:pPr>
      <w:r>
        <w:t xml:space="preserve">— rechtlich vorgeschrieben</w:t>
      </w:r>
    </w:p>
    <w:p>
      <w:pPr>
        <w:pStyle w:val="SaBody"/>
      </w:pPr>
      <w:r>
        <w:rPr>
          <w:b w:val="false"/>
          <w:bCs w:val="false"/>
        </w:rPr>
        <w:t xml:space="preserve">§ 2 Abs. 2 PSA-BV steht hinter zwei Spalten dieser Tabelle: PSA «müssen den Beschäftigten individuell passen» und sind «grundsätzlich für den Gebrauch durch eine Person bestimmt». Die Größe ist damit keine Bestellinformation, sondern eine Anforderung — und bei Mehrfachnutzung muss der Arbeitgeber Gesundheitsgefahren und hygienische Probleme ausschließen.</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867"/>
        <w:gridCol w:w="1831"/>
        <w:gridCol w:w="1831"/>
        <w:gridCol w:w="771"/>
        <w:gridCol w:w="578"/>
        <w:gridCol w:w="1156"/>
        <w:gridCol w:w="1156"/>
        <w:gridCol w:w="1448"/>
      </w:tblGrid>
      <w:tr>
        <w:trPr>
          <w:tblHeader/>
        </w:trPr>
        <w:tc>
          <w:tcPr>
            <w:tcW w:type="dxa" w:w="867"/>
            <w:shd w:fill="014259" w:color="auto" w:val="clear"/>
            <w:tcMar>
              <w:top w:type="dxa" w:w="60"/>
              <w:left w:type="dxa" w:w="100"/>
              <w:bottom w:type="dxa" w:w="60"/>
              <w:right w:type="dxa" w:w="100"/>
            </w:tcMar>
          </w:tcPr>
          <w:p>
            <w:pPr>
              <w:pStyle w:val="SaCellHeader"/>
            </w:pPr>
            <w:r>
              <w:t xml:space="preserve">Datum</w:t>
            </w:r>
          </w:p>
        </w:tc>
        <w:tc>
          <w:tcPr>
            <w:tcW w:type="dxa" w:w="1831"/>
            <w:shd w:fill="014259" w:color="auto" w:val="clear"/>
            <w:tcMar>
              <w:top w:type="dxa" w:w="60"/>
              <w:left w:type="dxa" w:w="100"/>
              <w:bottom w:type="dxa" w:w="60"/>
              <w:right w:type="dxa" w:w="100"/>
            </w:tcMar>
          </w:tcPr>
          <w:p>
            <w:pPr>
              <w:pStyle w:val="SaCellHeader"/>
            </w:pPr>
            <w:r>
              <w:t xml:space="preserve">Ausrüstung</w:t>
            </w:r>
          </w:p>
        </w:tc>
        <w:tc>
          <w:tcPr>
            <w:tcW w:type="dxa" w:w="1831"/>
            <w:shd w:fill="014259" w:color="auto" w:val="clear"/>
            <w:tcMar>
              <w:top w:type="dxa" w:w="60"/>
              <w:left w:type="dxa" w:w="100"/>
              <w:bottom w:type="dxa" w:w="60"/>
              <w:right w:type="dxa" w:w="100"/>
            </w:tcMar>
          </w:tcPr>
          <w:p>
            <w:pPr>
              <w:pStyle w:val="SaCellHeader"/>
            </w:pPr>
            <w:r>
              <w:t xml:space="preserve">Hersteller, Typ, Norm</w:t>
            </w:r>
          </w:p>
        </w:tc>
        <w:tc>
          <w:tcPr>
            <w:tcW w:type="dxa" w:w="771"/>
            <w:shd w:fill="014259" w:color="auto" w:val="clear"/>
            <w:tcMar>
              <w:top w:type="dxa" w:w="60"/>
              <w:left w:type="dxa" w:w="100"/>
              <w:bottom w:type="dxa" w:w="60"/>
              <w:right w:type="dxa" w:w="100"/>
            </w:tcMar>
          </w:tcPr>
          <w:p>
            <w:pPr>
              <w:pStyle w:val="SaCellHeader"/>
            </w:pPr>
            <w:r>
              <w:t xml:space="preserve">Größe</w:t>
            </w:r>
          </w:p>
        </w:tc>
        <w:tc>
          <w:tcPr>
            <w:tcW w:type="dxa" w:w="578"/>
            <w:shd w:fill="014259" w:color="auto" w:val="clear"/>
            <w:tcMar>
              <w:top w:type="dxa" w:w="60"/>
              <w:left w:type="dxa" w:w="100"/>
              <w:bottom w:type="dxa" w:w="60"/>
              <w:right w:type="dxa" w:w="100"/>
            </w:tcMar>
          </w:tcPr>
          <w:p>
            <w:pPr>
              <w:pStyle w:val="SaCellHeader"/>
            </w:pPr>
            <w:r>
              <w:t xml:space="preserve">Anz.</w:t>
            </w:r>
          </w:p>
        </w:tc>
        <w:tc>
          <w:tcPr>
            <w:tcW w:type="dxa" w:w="1156"/>
            <w:shd w:fill="014259" w:color="auto" w:val="clear"/>
            <w:tcMar>
              <w:top w:type="dxa" w:w="60"/>
              <w:left w:type="dxa" w:w="100"/>
              <w:bottom w:type="dxa" w:w="60"/>
              <w:right w:type="dxa" w:w="100"/>
            </w:tcMar>
          </w:tcPr>
          <w:p>
            <w:pPr>
              <w:pStyle w:val="SaCellHeader"/>
            </w:pPr>
            <w:r>
              <w:t xml:space="preserve">Serien- oder Chargennr.</w:t>
            </w:r>
          </w:p>
        </w:tc>
        <w:tc>
          <w:tcPr>
            <w:tcW w:type="dxa" w:w="1156"/>
            <w:shd w:fill="014259" w:color="auto" w:val="clear"/>
            <w:tcMar>
              <w:top w:type="dxa" w:w="60"/>
              <w:left w:type="dxa" w:w="100"/>
              <w:bottom w:type="dxa" w:w="60"/>
              <w:right w:type="dxa" w:w="100"/>
            </w:tcMar>
          </w:tcPr>
          <w:p>
            <w:pPr>
              <w:pStyle w:val="SaCellHeader"/>
            </w:pPr>
            <w:r>
              <w:t xml:space="preserve">Gebrauchsdauer / Verfall</w:t>
            </w:r>
          </w:p>
        </w:tc>
        <w:tc>
          <w:tcPr>
            <w:tcW w:type="dxa" w:w="1448"/>
            <w:shd w:fill="014259" w:color="auto" w:val="clear"/>
            <w:tcMar>
              <w:top w:type="dxa" w:w="60"/>
              <w:left w:type="dxa" w:w="100"/>
              <w:bottom w:type="dxa" w:w="60"/>
              <w:right w:type="dxa" w:w="100"/>
            </w:tcMar>
          </w:tcPr>
          <w:p>
            <w:pPr>
              <w:pStyle w:val="SaCellHeader"/>
            </w:pPr>
            <w:r>
              <w:t xml:space="preserve">Empfang bestätigt</w:t>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86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3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77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57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4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 2 Abs. 3 PSA-BV: werden mehrere PSA gleichzeitig benutzt, muss der Arbeitgeber sie so abstimmen, dass die Schutzwirkung der einzelnen Ausrüstung nicht beeinträchtigt wird. Helm, Gehörschutz und Schutzbrille zusammen sind der Regelfall, in dem das schiefgeht.</w:t>
      </w:r>
    </w:p>
    <w:p>
      <w:pPr>
        <w:pStyle w:val="SaH1"/>
      </w:pPr>
      <w:r>
        <w:t xml:space="preserve">4. Unterweisung und Benutzungsinformationen</w:t>
      </w:r>
    </w:p>
    <w:p>
      <w:pPr>
        <w:pStyle w:val="SaBasis"/>
      </w:pPr>
      <w:r>
        <w:t xml:space="preserve">— rechtlich vorgeschrieben</w:t>
      </w:r>
    </w:p>
    <w:p>
      <w:pPr>
        <w:pStyle w:val="SaBody"/>
      </w:pPr>
      <w:r>
        <w:rPr>
          <w:b w:val="false"/>
          <w:bCs w:val="false"/>
        </w:rPr>
        <w:t xml:space="preserve">§ 3 Abs. 1 PSA-BV hängt die Unterweisung an § 12 ArbSchG: der Arbeitgeber unterweist, wie die PSA sicherheitsgerecht benutzt wird, und führt bei Bedarf eine praktische Schulung in der Handhabung durch. § 3 Abs. 2 verlangt, für jede bereitgestellte PSA die erforderlichen Benutzungsinformationen «in für die Beschäftigten verständlicher Form und Sprache» bereitzuhalten.</w:t>
      </w:r>
    </w:p>
    <w:p>
      <w:pPr>
        <w:pStyle w:val="SaBody"/>
      </w:pPr>
      <w:r>
        <w:rPr>
          <w:b/>
          <w:bCs/>
        </w:rPr>
        <w:t xml:space="preserve">«Verständlicher Form und Sprache» ist kein Höflichkeitshinweis. In einem Betrieb mit mehrsprachiger Belegschaft ist eine deutsche Herstellernotiz keine Erfüllung dieser Pflicht.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095"/>
        <w:gridCol w:w="1466"/>
        <w:gridCol w:w="2514"/>
        <w:gridCol w:w="1676"/>
        <w:gridCol w:w="1887"/>
      </w:tblGrid>
      <w:tr>
        <w:trPr>
          <w:tblHeader/>
        </w:trPr>
        <w:tc>
          <w:tcPr>
            <w:tcW w:type="dxa" w:w="2095"/>
            <w:shd w:fill="014259" w:color="auto" w:val="clear"/>
            <w:tcMar>
              <w:top w:type="dxa" w:w="60"/>
              <w:left w:type="dxa" w:w="100"/>
              <w:bottom w:type="dxa" w:w="60"/>
              <w:right w:type="dxa" w:w="100"/>
            </w:tcMar>
          </w:tcPr>
          <w:p>
            <w:pPr>
              <w:pStyle w:val="SaCellHeader"/>
            </w:pPr>
            <w:r>
              <w:t xml:space="preserve">Ausrüstung</w:t>
            </w:r>
          </w:p>
        </w:tc>
        <w:tc>
          <w:tcPr>
            <w:tcW w:type="dxa" w:w="1466"/>
            <w:shd w:fill="014259" w:color="auto" w:val="clear"/>
            <w:tcMar>
              <w:top w:type="dxa" w:w="60"/>
              <w:left w:type="dxa" w:w="100"/>
              <w:bottom w:type="dxa" w:w="60"/>
              <w:right w:type="dxa" w:w="100"/>
            </w:tcMar>
          </w:tcPr>
          <w:p>
            <w:pPr>
              <w:pStyle w:val="SaCellHeader"/>
            </w:pPr>
            <w:r>
              <w:t xml:space="preserve">Unterweisung am</w:t>
            </w:r>
          </w:p>
        </w:tc>
        <w:tc>
          <w:tcPr>
            <w:tcW w:type="dxa" w:w="2514"/>
            <w:shd w:fill="014259" w:color="auto" w:val="clear"/>
            <w:tcMar>
              <w:top w:type="dxa" w:w="60"/>
              <w:left w:type="dxa" w:w="100"/>
              <w:bottom w:type="dxa" w:w="60"/>
              <w:right w:type="dxa" w:w="100"/>
            </w:tcMar>
          </w:tcPr>
          <w:p>
            <w:pPr>
              <w:pStyle w:val="SaCellHeader"/>
            </w:pPr>
            <w:r>
              <w:t xml:space="preserve">Praktische Schulung in der Handhabung</w:t>
            </w:r>
          </w:p>
        </w:tc>
        <w:tc>
          <w:tcPr>
            <w:tcW w:type="dxa" w:w="1676"/>
            <w:shd w:fill="014259" w:color="auto" w:val="clear"/>
            <w:tcMar>
              <w:top w:type="dxa" w:w="60"/>
              <w:left w:type="dxa" w:w="100"/>
              <w:bottom w:type="dxa" w:w="60"/>
              <w:right w:type="dxa" w:w="100"/>
            </w:tcMar>
          </w:tcPr>
          <w:p>
            <w:pPr>
              <w:pStyle w:val="SaCellHeader"/>
            </w:pPr>
            <w:r>
              <w:t xml:space="preserve">Sprache der Information</w:t>
            </w:r>
          </w:p>
        </w:tc>
        <w:tc>
          <w:tcPr>
            <w:tcW w:type="dxa" w:w="1887"/>
            <w:shd w:fill="014259" w:color="auto" w:val="clear"/>
            <w:tcMar>
              <w:top w:type="dxa" w:w="60"/>
              <w:left w:type="dxa" w:w="100"/>
              <w:bottom w:type="dxa" w:w="60"/>
              <w:right w:type="dxa" w:w="100"/>
            </w:tcMar>
          </w:tcPr>
          <w:p>
            <w:pPr>
              <w:pStyle w:val="SaCellHeader"/>
            </w:pPr>
            <w:r>
              <w:t xml:space="preserve">Unterweisende Person</w:t>
            </w:r>
          </w:p>
        </w:tc>
      </w:tr>
      <w:tr>
        <w:trPr>
          <w:trHeight w:val="460" w:hRule="atLeast"/>
        </w:trPr>
        <w:tc>
          <w:tcPr>
            <w:tcW w:type="dxa" w:w="20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6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0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6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0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6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0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6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0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6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0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6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0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6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0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6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14"/>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7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88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 12 Abs. 1 ArbSchG verlangt die Unterweisung vor Aufnahme der Tätigkeit — nicht in der ersten Woche danach.</w:t>
      </w:r>
    </w:p>
    <w:p>
      <w:pPr>
        <w:pStyle w:val="SaH1"/>
      </w:pPr>
      <w:r>
        <w:t xml:space="preserve">5. Prüfung und Gebrauchsdauer</w:t>
      </w:r>
    </w:p>
    <w:p>
      <w:pPr>
        <w:pStyle w:val="SaBasis"/>
      </w:pPr>
      <w:r>
        <w:t xml:space="preserve">— empfohlen durch eine Norm oder eine amtliche Regel</w:t>
      </w:r>
    </w:p>
    <w:p>
      <w:pPr>
        <w:pStyle w:val="SaBody"/>
      </w:pPr>
      <w:r>
        <w:rPr>
          <w:b w:val="false"/>
          <w:bCs w:val="false"/>
        </w:rPr>
        <w:t xml:space="preserve">Anders als in Frankreich nennt die PSA-BV keine Liste prüfpflichtiger Ausrüstung und keine Fristen. Was Prüffristen setzt, sind die Herstellerangaben und das Regelwerk der Unfallversicherungsträger — insbesondere für PSA gegen Absturz. § 2 Abs. 4 PSA-BV verlangt allerdings, dass Wartung, Reparatur, Ersatz und ordnungsgemäße Lagerung die Funktion über die gesamte Benutzungsdauer sichern.</w:t>
      </w:r>
    </w:p>
    <w:p>
      <w:pPr>
        <w:pStyle w:val="SaBody"/>
      </w:pPr>
      <w:r>
        <w:rPr>
          <w:b/>
          <w:bCs/>
        </w:rPr>
        <w:t xml:space="preserve">Diese Spalte trägt deshalb die Grundlage der Frist mit: Herstellerangabe, DGUV-Regel oder betriebliche Festlegung. Eine Frist ohne Grundlage ist bei einer Prüfung nicht belegbar.</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2120"/>
        <w:gridCol w:w="1156"/>
        <w:gridCol w:w="1927"/>
        <w:gridCol w:w="1349"/>
        <w:gridCol w:w="1349"/>
        <w:gridCol w:w="1737"/>
      </w:tblGrid>
      <w:tr>
        <w:trPr>
          <w:tblHeader/>
        </w:trPr>
        <w:tc>
          <w:tcPr>
            <w:tcW w:type="dxa" w:w="2120"/>
            <w:shd w:fill="014259" w:color="auto" w:val="clear"/>
            <w:tcMar>
              <w:top w:type="dxa" w:w="60"/>
              <w:left w:type="dxa" w:w="100"/>
              <w:bottom w:type="dxa" w:w="60"/>
              <w:right w:type="dxa" w:w="100"/>
            </w:tcMar>
          </w:tcPr>
          <w:p>
            <w:pPr>
              <w:pStyle w:val="SaCellHeader"/>
            </w:pPr>
            <w:r>
              <w:t xml:space="preserve">Ausrüstung</w:t>
            </w:r>
          </w:p>
        </w:tc>
        <w:tc>
          <w:tcPr>
            <w:tcW w:type="dxa" w:w="1156"/>
            <w:shd w:fill="014259" w:color="auto" w:val="clear"/>
            <w:tcMar>
              <w:top w:type="dxa" w:w="60"/>
              <w:left w:type="dxa" w:w="100"/>
              <w:bottom w:type="dxa" w:w="60"/>
              <w:right w:type="dxa" w:w="100"/>
            </w:tcMar>
          </w:tcPr>
          <w:p>
            <w:pPr>
              <w:pStyle w:val="SaCellHeader"/>
            </w:pPr>
            <w:r>
              <w:t xml:space="preserve">Prüffrist</w:t>
            </w:r>
          </w:p>
        </w:tc>
        <w:tc>
          <w:tcPr>
            <w:tcW w:type="dxa" w:w="1927"/>
            <w:shd w:fill="014259" w:color="auto" w:val="clear"/>
            <w:tcMar>
              <w:top w:type="dxa" w:w="60"/>
              <w:left w:type="dxa" w:w="100"/>
              <w:bottom w:type="dxa" w:w="60"/>
              <w:right w:type="dxa" w:w="100"/>
            </w:tcMar>
          </w:tcPr>
          <w:p>
            <w:pPr>
              <w:pStyle w:val="SaCellHeader"/>
            </w:pPr>
            <w:r>
              <w:t xml:space="preserve">Grundlage der Frist</w:t>
            </w:r>
          </w:p>
        </w:tc>
        <w:tc>
          <w:tcPr>
            <w:tcW w:type="dxa" w:w="1349"/>
            <w:shd w:fill="014259" w:color="auto" w:val="clear"/>
            <w:tcMar>
              <w:top w:type="dxa" w:w="60"/>
              <w:left w:type="dxa" w:w="100"/>
              <w:bottom w:type="dxa" w:w="60"/>
              <w:right w:type="dxa" w:w="100"/>
            </w:tcMar>
          </w:tcPr>
          <w:p>
            <w:pPr>
              <w:pStyle w:val="SaCellHeader"/>
            </w:pPr>
            <w:r>
              <w:t xml:space="preserve">Letzte Prüfung</w:t>
            </w:r>
          </w:p>
        </w:tc>
        <w:tc>
          <w:tcPr>
            <w:tcW w:type="dxa" w:w="1349"/>
            <w:shd w:fill="014259" w:color="auto" w:val="clear"/>
            <w:tcMar>
              <w:top w:type="dxa" w:w="60"/>
              <w:left w:type="dxa" w:w="100"/>
              <w:bottom w:type="dxa" w:w="60"/>
              <w:right w:type="dxa" w:w="100"/>
            </w:tcMar>
          </w:tcPr>
          <w:p>
            <w:pPr>
              <w:pStyle w:val="SaCellHeader"/>
            </w:pPr>
            <w:r>
              <w:t xml:space="preserve">Nächste fällig</w:t>
            </w:r>
          </w:p>
        </w:tc>
        <w:tc>
          <w:tcPr>
            <w:tcW w:type="dxa" w:w="1737"/>
            <w:shd w:fill="014259" w:color="auto" w:val="clear"/>
            <w:tcMar>
              <w:top w:type="dxa" w:w="60"/>
              <w:left w:type="dxa" w:w="100"/>
              <w:bottom w:type="dxa" w:w="60"/>
              <w:right w:type="dxa" w:w="100"/>
            </w:tcMar>
          </w:tcPr>
          <w:p>
            <w:pPr>
              <w:pStyle w:val="SaCellHeader"/>
            </w:pPr>
            <w:r>
              <w:t xml:space="preserve">Durch</w:t>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212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15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4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73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6. Austausch und Rückgabe</w:t>
      </w:r>
    </w:p>
    <w:p>
      <w:pPr>
        <w:pStyle w:val="SaBasis"/>
      </w:pPr>
      <w:r>
        <w:t xml:space="preserve">— betriebliche Praxis, nicht vorgeschrieben</w:t>
      </w:r>
    </w:p>
    <w:p>
      <w:pPr>
        <w:pStyle w:val="SaBody"/>
      </w:pPr>
      <w:r>
        <w:rPr>
          <w:b w:val="false"/>
          <w:bCs w:val="false"/>
        </w:rPr>
        <w:t xml:space="preserve">Nicht vorgeschrieben, und die fehlende Hälfte fast jedes Nachweises: ohne Rückgabezeile weiß niemand, ob ein fehlendes Auffanggerät entsorgt, verloren oder im Fahrzeug einer ausgeschiedenen Person ist.</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963"/>
        <w:gridCol w:w="1927"/>
        <w:gridCol w:w="2891"/>
        <w:gridCol w:w="1927"/>
        <w:gridCol w:w="1930"/>
      </w:tblGrid>
      <w:tr>
        <w:trPr>
          <w:tblHeader/>
        </w:trPr>
        <w:tc>
          <w:tcPr>
            <w:tcW w:type="dxa" w:w="963"/>
            <w:shd w:fill="014259" w:color="auto" w:val="clear"/>
            <w:tcMar>
              <w:top w:type="dxa" w:w="60"/>
              <w:left w:type="dxa" w:w="100"/>
              <w:bottom w:type="dxa" w:w="60"/>
              <w:right w:type="dxa" w:w="100"/>
            </w:tcMar>
          </w:tcPr>
          <w:p>
            <w:pPr>
              <w:pStyle w:val="SaCellHeader"/>
            </w:pPr>
            <w:r>
              <w:t xml:space="preserve">Datum</w:t>
            </w:r>
          </w:p>
        </w:tc>
        <w:tc>
          <w:tcPr>
            <w:tcW w:type="dxa" w:w="1927"/>
            <w:shd w:fill="014259" w:color="auto" w:val="clear"/>
            <w:tcMar>
              <w:top w:type="dxa" w:w="60"/>
              <w:left w:type="dxa" w:w="100"/>
              <w:bottom w:type="dxa" w:w="60"/>
              <w:right w:type="dxa" w:w="100"/>
            </w:tcMar>
          </w:tcPr>
          <w:p>
            <w:pPr>
              <w:pStyle w:val="SaCellHeader"/>
            </w:pPr>
            <w:r>
              <w:t xml:space="preserve">Ausrüstung</w:t>
            </w:r>
          </w:p>
        </w:tc>
        <w:tc>
          <w:tcPr>
            <w:tcW w:type="dxa" w:w="2891"/>
            <w:shd w:fill="014259" w:color="auto" w:val="clear"/>
            <w:tcMar>
              <w:top w:type="dxa" w:w="60"/>
              <w:left w:type="dxa" w:w="100"/>
              <w:bottom w:type="dxa" w:w="60"/>
              <w:right w:type="dxa" w:w="100"/>
            </w:tcMar>
          </w:tcPr>
          <w:p>
            <w:pPr>
              <w:pStyle w:val="SaCellHeader"/>
            </w:pPr>
            <w:r>
              <w:t xml:space="preserve">Grund: Verschleiß · Defekt · Verlust · Ablauf · Austritt</w:t>
            </w:r>
          </w:p>
        </w:tc>
        <w:tc>
          <w:tcPr>
            <w:tcW w:type="dxa" w:w="1927"/>
            <w:shd w:fill="014259" w:color="auto" w:val="clear"/>
            <w:tcMar>
              <w:top w:type="dxa" w:w="60"/>
              <w:left w:type="dxa" w:w="100"/>
              <w:bottom w:type="dxa" w:w="60"/>
              <w:right w:type="dxa" w:w="100"/>
            </w:tcMar>
          </w:tcPr>
          <w:p>
            <w:pPr>
              <w:pStyle w:val="SaCellHeader"/>
            </w:pPr>
            <w:r>
              <w:t xml:space="preserve">Ersetzt durch</w:t>
            </w:r>
          </w:p>
        </w:tc>
        <w:tc>
          <w:tcPr>
            <w:tcW w:type="dxa" w:w="1930"/>
            <w:shd w:fill="014259" w:color="auto" w:val="clear"/>
            <w:tcMar>
              <w:top w:type="dxa" w:w="60"/>
              <w:left w:type="dxa" w:w="100"/>
              <w:bottom w:type="dxa" w:w="60"/>
              <w:right w:type="dxa" w:w="100"/>
            </w:tcMar>
          </w:tcPr>
          <w:p>
            <w:pPr>
              <w:pStyle w:val="SaCellHeader"/>
            </w:pPr>
            <w:r>
              <w:t xml:space="preserve">Bestätigt</w:t>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96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8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27"/>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930"/>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7. Unterschriften</w:t>
      </w:r>
    </w:p>
    <w:p>
      <w:pPr>
        <w:pStyle w:val="SaBasis"/>
      </w:pPr>
      <w:r>
        <w:t xml:space="preserve">— betriebliche Praxis, nicht vorgeschrieben</w:t>
      </w:r>
    </w:p>
    <w:p>
      <w:pPr>
        <w:pStyle w:val="SaBody"/>
      </w:pPr>
      <w:r>
        <w:rPr>
          <w:b w:val="false"/>
          <w:bCs w:val="false"/>
        </w:rPr>
        <w:t xml:space="preserve">Die Unterschrift bestätigt Empfang, Unterweisung und erhaltene Informationen. Sie ist keine Einwilligung in die Gefährdung und keine Haftungsfreistellung — und § 3 Abs. 3 ArbSchG bleibt daneben unberührt: die Kosten trägt der Arbeitgeber.</w:t>
      </w:r>
    </w:p>
    <w:tbl>
      <w:tblPr>
        <w:tblW w:type="dxa" w:w="9638"/>
        <w:tblBorders>
          <w:top w:val="none" w:color="auto" w:sz="0"/>
          <w:left w:val="none" w:color="auto" w:sz="0"/>
          <w:bottom w:val="none" w:color="auto" w:sz="0"/>
          <w:right w:val="none" w:color="auto" w:sz="0"/>
          <w:insideH w:val="none" w:color="auto" w:sz="0"/>
          <w:insideV w:val="none" w:color="auto" w:sz="0"/>
        </w:tblBorders>
      </w:tblPr>
      <w:tblGrid>
        <w:gridCol w:w="4819"/>
        <w:gridCol w:w="4819"/>
      </w:tblGrid>
      <w:tr>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Beschäftigte Person</w:t>
            </w:r>
          </w:p>
          <w:p>
            <w:pPr>
              <w:pStyle w:val="SaHint"/>
            </w:pPr>
            <w:r>
              <w:t xml:space="preserve">Bestätigt Empfang, Unterweisung und Informationen</w:t>
            </w:r>
          </w:p>
        </w:tc>
        <w:tc>
          <w:tcPr>
            <w:tcW w:type="dxa" w:w="4819"/>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Ausgebende Person</w:t>
            </w:r>
          </w:p>
          <w:p>
            <w:pPr>
              <w:pStyle w:val="SaHint"/>
            </w:pPr>
            <w:r>
              <w:t xml:space="preserve">Name, Funktion, Datum</w:t>
            </w:r>
          </w:p>
        </w:tc>
      </w:tr>
      <w:tr>
        <w:trPr>
          <w:trHeight w:val="1100" w:hRule="atLeast"/>
        </w:trPr>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81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Quellen</w:t>
      </w:r>
    </w:p>
    <w:p>
      <w:pPr>
        <w:pStyle w:val="ListParagraph"/>
        <w:pStyle w:val="SaNote"/>
        <w:numPr>
          <w:ilvl w:val="0"/>
          <w:numId w:val="1"/>
        </w:numPr>
      </w:pPr>
      <w:r>
        <w:t xml:space="preserve">PSA-Benutzungsverordnung § 2 — Bereitstellung und Benutzung — </w:t>
      </w:r>
      <w:hyperlink w:history="1" r:id="rIdugchjpcpjjb64ofrx4i-0">
        <w:r>
          <w:rPr>
            <w:color w:val="005674"/>
            <w:u w:val="single"/>
          </w:rPr>
          <w:t xml:space="preserve">https://www.gesetze-im-internet.de/psa-bv/__2.html</w:t>
        </w:r>
      </w:hyperlink>
    </w:p>
    <w:p>
      <w:pPr>
        <w:pStyle w:val="ListParagraph"/>
        <w:pStyle w:val="SaNote"/>
        <w:numPr>
          <w:ilvl w:val="0"/>
          <w:numId w:val="1"/>
        </w:numPr>
      </w:pPr>
      <w:r>
        <w:t xml:space="preserve">PSA-Benutzungsverordnung § 3 — Unterweisung — </w:t>
      </w:r>
      <w:hyperlink w:history="1" r:id="rIdqekna5ayf5xr8h89_usdt">
        <w:r>
          <w:rPr>
            <w:color w:val="005674"/>
            <w:u w:val="single"/>
          </w:rPr>
          <w:t xml:space="preserve">https://www.gesetze-im-internet.de/psa-bv/__3.html</w:t>
        </w:r>
      </w:hyperlink>
    </w:p>
    <w:p>
      <w:pPr>
        <w:pStyle w:val="ListParagraph"/>
        <w:pStyle w:val="SaNote"/>
        <w:numPr>
          <w:ilvl w:val="0"/>
          <w:numId w:val="1"/>
        </w:numPr>
      </w:pPr>
      <w:r>
        <w:t xml:space="preserve">ArbSchG § 3 — Grundpflichten, mit dem Kostenverbot in Absatz 3 — </w:t>
      </w:r>
      <w:hyperlink w:history="1" r:id="rIdz97ta7ypds1d5okqjne6s">
        <w:r>
          <w:rPr>
            <w:color w:val="005674"/>
            <w:u w:val="single"/>
          </w:rPr>
          <w:t xml:space="preserve">https://www.gesetze-im-internet.de/arbschg/__3.html</w:t>
        </w:r>
      </w:hyperlink>
    </w:p>
    <w:p>
      <w:pPr>
        <w:pStyle w:val="ListParagraph"/>
        <w:pStyle w:val="SaNote"/>
        <w:numPr>
          <w:ilvl w:val="0"/>
          <w:numId w:val="1"/>
        </w:numPr>
      </w:pPr>
      <w:r>
        <w:t xml:space="preserve">ArbSchG § 12 — Unterweisung — </w:t>
      </w:r>
      <w:hyperlink w:history="1" r:id="rId9kpsmrejx1itpzej-dsrv">
        <w:r>
          <w:rPr>
            <w:color w:val="005674"/>
            <w:u w:val="single"/>
          </w:rPr>
          <w:t xml:space="preserve">https://www.gesetze-im-internet.de/arbschg/__12.html</w:t>
        </w:r>
      </w:hyperlink>
    </w:p>
    <w:p>
      <w:pPr>
        <w:pStyle w:val="SaNote"/>
      </w:pPr>
      <w:r>
        <w:rPr>
          <w:b w:val="false"/>
          <w:bCs w:val="false"/>
        </w:rPr>
        <w:t xml:space="preserve">Inhalt zuletzt geprüft am 2026-09-08 · Die Seite zu dieser Vorlage — https://safeally.net/de-de/vorlagen/psa-ausgabenachweis/</w:t>
      </w:r>
    </w:p>
    <w:p>
      <w:pPr>
        <w:pStyle w:val="SaNote"/>
      </w:pPr>
      <w:r>
        <w:rPr>
          <w:b w:val="false"/>
          <w:bCs w:val="false"/>
        </w:rPr>
        <w:t xml:space="preserve">SafeAlly — safeally.net · kostenlos, ohne Konto, bearbeitbares Dokument</w:t>
      </w:r>
    </w:p>
    <w:sectPr>
      <w:headerReference w:type="default" r:id="rId7"/>
      <w:footerReference w:type="default" r:id="rId8"/>
      <w:pgSz w:w="11906" w:h="16838"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638"/>
      </w:tabs>
    </w:pPr>
    <w:r>
      <w:t xml:space="preserve">Inhalt zuletzt geprüft am 2026-09-08 · safeally.net</w:t>
    </w:r>
    <w:r>
      <w:t xml:space="preserve">	</w:t>
      <w:t xml:space="preserve">Seite </w:t>
      <w:fldChar w:fldCharType="begin"/>
      <w:instrText xml:space="preserve">PAGE</w:instrText>
      <w:fldChar w:fldCharType="separate"/>
      <w:fldChar w:fldCharType="end"/>
    </w:r>
    <w:r>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PSA-Ausgabenachweis — ……………………………………… — Blatt Nr.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gesetze-im-internet.de/psa-bv/__2.html" TargetMode="External"/><Relationship Id="rIdqekna5ayf5xr8h89_usdt" Type="http://schemas.openxmlformats.org/officeDocument/2006/relationships/hyperlink" Target="https://www.gesetze-im-internet.de/psa-bv/__3.html" TargetMode="External"/><Relationship Id="rIdz97ta7ypds1d5okqjne6s" Type="http://schemas.openxmlformats.org/officeDocument/2006/relationships/hyperlink" Target="https://www.gesetze-im-internet.de/arbschg/__3.html" TargetMode="External"/><Relationship Id="rId9kpsmrejx1itpzej-dsrv" Type="http://schemas.openxmlformats.org/officeDocument/2006/relationships/hyperlink" Target="https://www.gesetze-im-internet.de/arbschg/__12.html"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PSA-Ausgabenachweis</dc:title>
  <dc:subject>Blanko-Nachweis über die Ausgabe persönlicher Schutzausrüstung — Deutschland. SafeAlly, safeally.net.</dc:subject>
  <dc:creator>SafeAlly — safeally.net</dc:creator>
  <dc:description>Blanko-Nachweis über die Ausgabe persönlicher Schutzausrüstung — Deutschland.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