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PPE issue and training record</w:t>
      </w:r>
    </w:p>
    <w:p>
      <w:pPr>
        <w:pStyle w:val="SaSubtitle"/>
      </w:pPr>
      <w:r>
        <w:t xml:space="preserve">Canada — federal (COHSR Part XII) and provincial. Who supplies what is settled in section 3.</w:t>
      </w:r>
    </w:p>
    <w:tbl>
      <w:tblPr>
        <w:tblW w:type="dxa" w:w="9972"/>
        <w:tblBorders>
          <w:top w:val="single" w:color="FFC250" w:sz="8"/>
          <w:left w:val="single" w:color="FFC250" w:sz="8"/>
          <w:bottom w:val="single" w:color="FFC250" w:sz="8"/>
          <w:right w:val="single" w:color="FFC250" w:sz="8"/>
          <w:insideH w:val="none" w:color="auto" w:sz="0"/>
          <w:insideV w:val="none" w:color="auto" w:sz="0"/>
        </w:tblBorders>
      </w:tblPr>
      <w:tblGrid>
        <w:gridCol w:w="9972"/>
      </w:tblGrid>
      <w:tr>
        <w:tc>
          <w:tcPr>
            <w:tcW w:type="dxa" w:w="9972"/>
            <w:shd w:fill="FFEED3" w:color="auto" w:val="clear"/>
            <w:tcMar>
              <w:top w:type="dxa" w:w="160"/>
              <w:left w:type="dxa" w:w="200"/>
              <w:bottom w:type="dxa" w:w="160"/>
              <w:right w:type="dxa" w:w="200"/>
            </w:tcMar>
          </w:tcPr>
          <w:p>
            <w:pPr>
              <w:pStyle w:val="SaCell"/>
            </w:pPr>
            <w:r>
              <w:rPr>
                <w:b/>
                <w:bCs/>
              </w:rPr>
              <w:t xml:space="preserve">What this record is not</w:t>
            </w:r>
          </w:p>
          <w:p>
            <w:pPr>
              <w:pStyle w:val="SaCell"/>
            </w:pPr>
            <w:r>
              <w:t xml:space="preserve">It is not a waiver. A signature here records that equipment and instruction were given; it transfers nothing, and it does not answer the question a due-diligence review asks first, which is why the hazard was still there. PPE is the last control in the hierarchy, not the first. And who supplies what genuinely differs by province — section 3 settles that before anything is issued. Nothing here is legal advice.</w:t>
            </w:r>
          </w:p>
        </w:tc>
      </w:tr>
    </w:tbl>
    <w:p>
      <w:pPr>
        <w:pStyle w:val="SaChrome"/>
      </w:pPr>
    </w:p>
    <w:p>
      <w:pPr>
        <w:pStyle w:val="SaBody"/>
      </w:pPr>
      <w:r>
        <w:rPr>
          <w:b w:val="false"/>
          <w:bCs w:val="false"/>
        </w:rPr>
        <w:t xml:space="preserve">The shaded areas are yours to fill in. Anything in square brackets is an example — replace it. This document is editable: drop what does not apply to you, but read each section's note below first.</w:t>
      </w:r>
    </w:p>
    <w:p>
      <w:pPr>
        <w:pStyle w:val="SaH1"/>
      </w:pPr>
      <w:r>
        <w:t xml:space="preserve">1. Worker and job</w:t>
      </w:r>
    </w:p>
    <w:p>
      <w:pPr>
        <w:pStyle w:val="SaBasis"/>
      </w:pPr>
      <w:r>
        <w:t xml:space="preserve">— industry practice, nothing requires it</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592"/>
        <w:gridCol w:w="2393"/>
        <w:gridCol w:w="2592"/>
        <w:gridCol w:w="2395"/>
      </w:tblGrid>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Name</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Employee number</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Job or position</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Site or department</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Start date in this job</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Supervisor</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Hazard assessment this record follows from</w:t>
            </w:r>
          </w:p>
        </w:tc>
        <w:tc>
          <w:tcPr>
            <w:tcW w:type="dxa" w:w="7380"/>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[reference and date — the PPE has to come from an assessment]</w:t>
            </w:r>
          </w:p>
        </w:tc>
      </w:tr>
    </w:tbl>
    <w:p>
      <w:pPr>
        <w:pStyle w:val="SaChrome"/>
      </w:pPr>
    </w:p>
    <w:p>
      <w:pPr>
        <w:pStyle w:val="SaH1"/>
      </w:pPr>
      <w:r>
        <w:t xml:space="preserve">2. Hazards the equipment is issued against</w:t>
      </w:r>
    </w:p>
    <w:p>
      <w:pPr>
        <w:pStyle w:val="SaBasis"/>
      </w:pPr>
      <w:r>
        <w:t xml:space="preserve">— required by law</w:t>
      </w:r>
    </w:p>
    <w:p>
      <w:pPr>
        <w:pStyle w:val="SaBody"/>
      </w:pPr>
      <w:r>
        <w:rPr>
          <w:b w:val="false"/>
          <w:bCs w:val="false"/>
        </w:rPr>
        <w:t xml:space="preserve">Alberta's OHS Code makes the link explicit: PPE is required where «the hazard assessment indicates the need» for it (s. 228(1)), and s. 9 puts it last — after elimination, engineering controls and administrative controls. Writing the hazard in this table is what makes the last column answerable.</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991"/>
        <w:gridCol w:w="1794"/>
        <w:gridCol w:w="2592"/>
        <w:gridCol w:w="2595"/>
      </w:tblGrid>
      <w:tr>
        <w:trPr>
          <w:tblHeader/>
        </w:trPr>
        <w:tc>
          <w:tcPr>
            <w:tcW w:type="dxa" w:w="2991"/>
            <w:shd w:fill="014259" w:color="auto" w:val="clear"/>
            <w:tcMar>
              <w:top w:type="dxa" w:w="60"/>
              <w:left w:type="dxa" w:w="100"/>
              <w:bottom w:type="dxa" w:w="60"/>
              <w:right w:type="dxa" w:w="100"/>
            </w:tcMar>
          </w:tcPr>
          <w:p>
            <w:pPr>
              <w:pStyle w:val="SaCellHeader"/>
            </w:pPr>
            <w:r>
              <w:t xml:space="preserve">Hazard from the assessment</w:t>
            </w:r>
          </w:p>
        </w:tc>
        <w:tc>
          <w:tcPr>
            <w:tcW w:type="dxa" w:w="1794"/>
            <w:shd w:fill="014259" w:color="auto" w:val="clear"/>
            <w:tcMar>
              <w:top w:type="dxa" w:w="60"/>
              <w:left w:type="dxa" w:w="100"/>
              <w:bottom w:type="dxa" w:w="60"/>
              <w:right w:type="dxa" w:w="100"/>
            </w:tcMar>
          </w:tcPr>
          <w:p>
            <w:pPr>
              <w:pStyle w:val="SaCellHeader"/>
            </w:pPr>
            <w:r>
              <w:t xml:space="preserve">Body part exposed</w:t>
            </w:r>
          </w:p>
        </w:tc>
        <w:tc>
          <w:tcPr>
            <w:tcW w:type="dxa" w:w="2592"/>
            <w:shd w:fill="014259" w:color="auto" w:val="clear"/>
            <w:tcMar>
              <w:top w:type="dxa" w:w="60"/>
              <w:left w:type="dxa" w:w="100"/>
              <w:bottom w:type="dxa" w:w="60"/>
              <w:right w:type="dxa" w:w="100"/>
            </w:tcMar>
          </w:tcPr>
          <w:p>
            <w:pPr>
              <w:pStyle w:val="SaCellHeader"/>
            </w:pPr>
            <w:r>
              <w:t xml:space="preserve">Higher controls already in place</w:t>
            </w:r>
          </w:p>
        </w:tc>
        <w:tc>
          <w:tcPr>
            <w:tcW w:type="dxa" w:w="2595"/>
            <w:shd w:fill="014259" w:color="auto" w:val="clear"/>
            <w:tcMar>
              <w:top w:type="dxa" w:w="60"/>
              <w:left w:type="dxa" w:w="100"/>
              <w:bottom w:type="dxa" w:w="60"/>
              <w:right w:type="dxa" w:w="100"/>
            </w:tcMar>
          </w:tcPr>
          <w:p>
            <w:pPr>
              <w:pStyle w:val="SaCellHeader"/>
            </w:pPr>
            <w:r>
              <w:t xml:space="preserve">Why PPE is still needed</w:t>
            </w:r>
          </w:p>
        </w:tc>
      </w:tr>
      <w:tr>
        <w:trPr>
          <w:trHeight w:val="460" w:hRule="atLeast"/>
        </w:trPr>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«Residual noise of 87 dBA after enclosing the press» is an answer. «Company policy» is not, and it is the answer an officer will write down.</w:t>
      </w:r>
    </w:p>
    <w:p>
      <w:pPr>
        <w:pStyle w:val="SaH1"/>
      </w:pPr>
      <w:r>
        <w:t xml:space="preserve">3. Who supplies what — settle this before issuing anything</w:t>
      </w:r>
    </w:p>
    <w:p>
      <w:pPr>
        <w:pStyle w:val="SaBasis"/>
      </w:pPr>
      <w:r>
        <w:t xml:space="preserve">— required by law</w:t>
      </w:r>
    </w:p>
    <w:p>
      <w:pPr>
        <w:pStyle w:val="SaBody"/>
      </w:pPr>
      <w:r>
        <w:rPr>
          <w:b w:val="false"/>
          <w:bCs w:val="false"/>
        </w:rPr>
        <w:t xml:space="preserve">This is the section that makes a Canadian PPE record different from a European one. The answer is provincial, and two provinces answer it in opposite directions.</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1595"/>
        <w:gridCol w:w="5185"/>
        <w:gridCol w:w="3192"/>
      </w:tblGrid>
      <w:tr>
        <w:trPr>
          <w:tblHeader/>
        </w:trPr>
        <w:tc>
          <w:tcPr>
            <w:tcW w:type="dxa" w:w="1595"/>
            <w:shd w:fill="014259" w:color="auto" w:val="clear"/>
            <w:tcMar>
              <w:top w:type="dxa" w:w="60"/>
              <w:left w:type="dxa" w:w="100"/>
              <w:bottom w:type="dxa" w:w="60"/>
              <w:right w:type="dxa" w:w="100"/>
            </w:tcMar>
          </w:tcPr>
          <w:p>
            <w:pPr>
              <w:pStyle w:val="SaCellHeader"/>
            </w:pPr>
            <w:r>
              <w:t xml:space="preserve">Jurisdiction</w:t>
            </w:r>
          </w:p>
        </w:tc>
        <w:tc>
          <w:tcPr>
            <w:tcW w:type="dxa" w:w="5185"/>
            <w:shd w:fill="014259" w:color="auto" w:val="clear"/>
            <w:tcMar>
              <w:top w:type="dxa" w:w="60"/>
              <w:left w:type="dxa" w:w="100"/>
              <w:bottom w:type="dxa" w:w="60"/>
              <w:right w:type="dxa" w:w="100"/>
            </w:tcMar>
          </w:tcPr>
          <w:p>
            <w:pPr>
              <w:pStyle w:val="SaCellHeader"/>
            </w:pPr>
            <w:r>
              <w:t xml:space="preserve">Who supplies</w:t>
            </w:r>
          </w:p>
        </w:tc>
        <w:tc>
          <w:tcPr>
            <w:tcW w:type="dxa" w:w="3192"/>
            <w:shd w:fill="014259" w:color="auto" w:val="clear"/>
            <w:tcMar>
              <w:top w:type="dxa" w:w="60"/>
              <w:left w:type="dxa" w:w="100"/>
              <w:bottom w:type="dxa" w:w="60"/>
              <w:right w:type="dxa" w:w="100"/>
            </w:tcMar>
          </w:tcPr>
          <w:p>
            <w:pPr>
              <w:pStyle w:val="SaCellHeader"/>
            </w:pPr>
            <w:r>
              <w:t xml:space="preserve">Where it says so</w:t>
            </w:r>
          </w:p>
        </w:tc>
      </w:tr>
      <w:tr>
        <w:tc>
          <w:tcPr>
            <w:tcW w:type="dxa" w:w="159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British Columbia</w:t>
            </w:r>
          </w:p>
        </w:tc>
        <w:tc>
          <w:tcPr>
            <w:tcW w:type="dxa" w:w="51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The worker provides clothing needed for protection against the natural elements, general purpose work gloves, appropriate footwear including safety footwear, and safety headgear. The employer provides all other PPE required by the Regulation, at no cost to workers.</w:t>
            </w:r>
          </w:p>
        </w:tc>
        <w:tc>
          <w:tcPr>
            <w:tcW w:type="dxa" w:w="3192"/>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OHS Regulation, s. 8.2</w:t>
            </w:r>
          </w:p>
        </w:tc>
      </w:tr>
      <w:tr>
        <w:tc>
          <w:tcPr>
            <w:tcW w:type="dxa" w:w="159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Québec</w:t>
            </w:r>
          </w:p>
        </w:tc>
        <w:tc>
          <w:tcPr>
            <w:tcW w:type="dxa" w:w="51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L'employeur fournit gratuitement l'EPI dès l'embauche, ajusté au travailleur. Posséder son équipement ne peut pas être un critère d'embauche.</w:t>
            </w:r>
          </w:p>
        </w:tc>
        <w:tc>
          <w:tcPr>
            <w:tcW w:type="dxa" w:w="3192"/>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LSST art. 51 et RSST art. 345, selon la CNESST</w:t>
            </w:r>
          </w:p>
        </w:tc>
      </w:tr>
      <w:tr>
        <w:tc>
          <w:tcPr>
            <w:tcW w:type="dxa" w:w="159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Alberta</w:t>
            </w:r>
          </w:p>
        </w:tc>
        <w:tc>
          <w:tcPr>
            <w:tcW w:type="dxa" w:w="51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The Code requires the employer to ensure correct PPE is worn, used properly, kept in working condition, and that workers are trained in its use, care, limitations and assigned maintenance. It does not itself allocate the cost.</w:t>
            </w:r>
          </w:p>
        </w:tc>
        <w:tc>
          <w:tcPr>
            <w:tcW w:type="dxa" w:w="3192"/>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OHS Code, s. 228</w:t>
            </w:r>
          </w:p>
        </w:tc>
      </w:tr>
      <w:tr>
        <w:tc>
          <w:tcPr>
            <w:tcW w:type="dxa" w:w="159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Ontario</w:t>
            </w:r>
          </w:p>
        </w:tc>
        <w:tc>
          <w:tcPr>
            <w:tcW w:type="dxa" w:w="51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Reg. 851 ss. 79 to 84 are written as duties on the worker — «a worker … shall wear» — and say nothing about who pays or about keeping a record.</w:t>
            </w:r>
          </w:p>
        </w:tc>
        <w:tc>
          <w:tcPr>
            <w:tcW w:type="dxa" w:w="3192"/>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R.R.O. 1990, Reg. 851</w:t>
            </w:r>
          </w:p>
        </w:tc>
      </w:tr>
      <w:tr>
        <w:tc>
          <w:tcPr>
            <w:tcW w:type="dxa" w:w="159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Federal</w:t>
            </w:r>
          </w:p>
        </w:tc>
        <w:tc>
          <w:tcPr>
            <w:tcW w:type="dxa" w:w="51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Where a hazard cannot otherwise be controlled, the employer provides the protection equipment prescribed by Part XII.</w:t>
            </w:r>
          </w:p>
        </w:tc>
        <w:tc>
          <w:tcPr>
            <w:tcW w:type="dxa" w:w="3192"/>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COHSR, Part XII</w:t>
            </w:r>
          </w:p>
        </w:tc>
      </w:tr>
    </w:tbl>
    <w:p>
      <w:pPr>
        <w:pStyle w:val="SaNote"/>
      </w:pPr>
      <w:r>
        <w:t xml:space="preserve">Two provinces, opposite answers, on safety boots specifically. A national policy copied from one of them is wrong in the other — and it is the kind of wrong that ends up in a complaint rather than in an inspection report.</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592"/>
        <w:gridCol w:w="2393"/>
        <w:gridCol w:w="2592"/>
        <w:gridCol w:w="2395"/>
      </w:tblGrid>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Jurisdiction this record is written for</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Federally regulated work?</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[yes / no]</w:t>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Items the worker supplies, if any</w:t>
            </w:r>
          </w:p>
        </w:tc>
        <w:tc>
          <w:tcPr>
            <w:tcW w:type="dxa" w:w="7380"/>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[list them, and say on what basis]</w:t>
            </w:r>
          </w:p>
        </w:tc>
      </w:tr>
    </w:tbl>
    <w:p>
      <w:pPr>
        <w:pStyle w:val="SaChrome"/>
      </w:pPr>
    </w:p>
    <w:p>
      <w:pPr>
        <w:pStyle w:val="SaH1"/>
      </w:pPr>
      <w:r>
        <w:t xml:space="preserve">4. Equipment issued</w:t>
      </w:r>
    </w:p>
    <w:p>
      <w:pPr>
        <w:pStyle w:val="SaBasis"/>
      </w:pPr>
      <w:r>
        <w:t xml:space="preserve">— industry practice, nothing requires it</w:t>
      </w:r>
    </w:p>
    <w:p>
      <w:pPr>
        <w:pStyle w:val="SaBody"/>
      </w:pPr>
      <w:r>
        <w:rPr>
          <w:b w:val="false"/>
          <w:bCs w:val="false"/>
        </w:rPr>
        <w:t xml:space="preserve">No Canadian provision requires an issue register as such. It exists because Alberta requires the equipment to be «in a condition to perform the function for which it is designed» and the worker to inspect it before use — and neither claim is checkable a year later without a record of what was given, when, and in what size.</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897"/>
        <w:gridCol w:w="1894"/>
        <w:gridCol w:w="1894"/>
        <w:gridCol w:w="797"/>
        <w:gridCol w:w="598"/>
        <w:gridCol w:w="1196"/>
        <w:gridCol w:w="1196"/>
        <w:gridCol w:w="1500"/>
      </w:tblGrid>
      <w:tr>
        <w:trPr>
          <w:tblHeader/>
        </w:trPr>
        <w:tc>
          <w:tcPr>
            <w:tcW w:type="dxa" w:w="897"/>
            <w:shd w:fill="014259" w:color="auto" w:val="clear"/>
            <w:tcMar>
              <w:top w:type="dxa" w:w="60"/>
              <w:left w:type="dxa" w:w="100"/>
              <w:bottom w:type="dxa" w:w="60"/>
              <w:right w:type="dxa" w:w="100"/>
            </w:tcMar>
          </w:tcPr>
          <w:p>
            <w:pPr>
              <w:pStyle w:val="SaCellHeader"/>
            </w:pPr>
            <w:r>
              <w:t xml:space="preserve">Date</w:t>
            </w:r>
          </w:p>
        </w:tc>
        <w:tc>
          <w:tcPr>
            <w:tcW w:type="dxa" w:w="1894"/>
            <w:shd w:fill="014259" w:color="auto" w:val="clear"/>
            <w:tcMar>
              <w:top w:type="dxa" w:w="60"/>
              <w:left w:type="dxa" w:w="100"/>
              <w:bottom w:type="dxa" w:w="60"/>
              <w:right w:type="dxa" w:w="100"/>
            </w:tcMar>
          </w:tcPr>
          <w:p>
            <w:pPr>
              <w:pStyle w:val="SaCellHeader"/>
            </w:pPr>
            <w:r>
              <w:t xml:space="preserve">Equipment</w:t>
            </w:r>
          </w:p>
        </w:tc>
        <w:tc>
          <w:tcPr>
            <w:tcW w:type="dxa" w:w="1894"/>
            <w:shd w:fill="014259" w:color="auto" w:val="clear"/>
            <w:tcMar>
              <w:top w:type="dxa" w:w="60"/>
              <w:left w:type="dxa" w:w="100"/>
              <w:bottom w:type="dxa" w:w="60"/>
              <w:right w:type="dxa" w:w="100"/>
            </w:tcMar>
          </w:tcPr>
          <w:p>
            <w:pPr>
              <w:pStyle w:val="SaCellHeader"/>
            </w:pPr>
            <w:r>
              <w:t xml:space="preserve">Make, model, standard</w:t>
            </w:r>
          </w:p>
        </w:tc>
        <w:tc>
          <w:tcPr>
            <w:tcW w:type="dxa" w:w="797"/>
            <w:shd w:fill="014259" w:color="auto" w:val="clear"/>
            <w:tcMar>
              <w:top w:type="dxa" w:w="60"/>
              <w:left w:type="dxa" w:w="100"/>
              <w:bottom w:type="dxa" w:w="60"/>
              <w:right w:type="dxa" w:w="100"/>
            </w:tcMar>
          </w:tcPr>
          <w:p>
            <w:pPr>
              <w:pStyle w:val="SaCellHeader"/>
            </w:pPr>
            <w:r>
              <w:t xml:space="preserve">Size</w:t>
            </w:r>
          </w:p>
        </w:tc>
        <w:tc>
          <w:tcPr>
            <w:tcW w:type="dxa" w:w="598"/>
            <w:shd w:fill="014259" w:color="auto" w:val="clear"/>
            <w:tcMar>
              <w:top w:type="dxa" w:w="60"/>
              <w:left w:type="dxa" w:w="100"/>
              <w:bottom w:type="dxa" w:w="60"/>
              <w:right w:type="dxa" w:w="100"/>
            </w:tcMar>
          </w:tcPr>
          <w:p>
            <w:pPr>
              <w:pStyle w:val="SaCellHeader"/>
            </w:pPr>
            <w:r>
              <w:t xml:space="preserve">Qty</w:t>
            </w:r>
          </w:p>
        </w:tc>
        <w:tc>
          <w:tcPr>
            <w:tcW w:type="dxa" w:w="1196"/>
            <w:shd w:fill="014259" w:color="auto" w:val="clear"/>
            <w:tcMar>
              <w:top w:type="dxa" w:w="60"/>
              <w:left w:type="dxa" w:w="100"/>
              <w:bottom w:type="dxa" w:w="60"/>
              <w:right w:type="dxa" w:w="100"/>
            </w:tcMar>
          </w:tcPr>
          <w:p>
            <w:pPr>
              <w:pStyle w:val="SaCellHeader"/>
            </w:pPr>
            <w:r>
              <w:t xml:space="preserve">Serial or lot</w:t>
            </w:r>
          </w:p>
        </w:tc>
        <w:tc>
          <w:tcPr>
            <w:tcW w:type="dxa" w:w="1196"/>
            <w:shd w:fill="014259" w:color="auto" w:val="clear"/>
            <w:tcMar>
              <w:top w:type="dxa" w:w="60"/>
              <w:left w:type="dxa" w:w="100"/>
              <w:bottom w:type="dxa" w:w="60"/>
              <w:right w:type="dxa" w:w="100"/>
            </w:tcMar>
          </w:tcPr>
          <w:p>
            <w:pPr>
              <w:pStyle w:val="SaCellHeader"/>
            </w:pPr>
            <w:r>
              <w:t xml:space="preserve">Service life or expiry</w:t>
            </w:r>
          </w:p>
        </w:tc>
        <w:tc>
          <w:tcPr>
            <w:tcW w:type="dxa" w:w="1500"/>
            <w:shd w:fill="014259" w:color="auto" w:val="clear"/>
            <w:tcMar>
              <w:top w:type="dxa" w:w="60"/>
              <w:left w:type="dxa" w:w="100"/>
              <w:bottom w:type="dxa" w:w="60"/>
              <w:right w:type="dxa" w:w="100"/>
            </w:tcMar>
          </w:tcPr>
          <w:p>
            <w:pPr>
              <w:pStyle w:val="SaCellHeader"/>
            </w:pPr>
            <w:r>
              <w:t xml:space="preserve">Worker's initials</w:t>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0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Standards are worth writing in full: CSA Z94.1 for headwear, Z94.3 for eye and face, Z195 for footwear, Z94.4 for respirator selection and fit. Alberta's Code names the CSA standard and its edition, so «CSA approved» is not a specification.</w:t>
      </w:r>
    </w:p>
    <w:p>
      <w:pPr>
        <w:pStyle w:val="SaH1"/>
      </w:pPr>
      <w:r>
        <w:t xml:space="preserve">5. Instruction and training</w:t>
      </w:r>
    </w:p>
    <w:p>
      <w:pPr>
        <w:pStyle w:val="SaBasis"/>
      </w:pPr>
      <w:r>
        <w:t xml:space="preserve">— required by law</w:t>
      </w:r>
    </w:p>
    <w:p>
      <w:pPr>
        <w:pStyle w:val="SaBody"/>
      </w:pPr>
      <w:r>
        <w:rPr>
          <w:b w:val="false"/>
          <w:bCs w:val="false"/>
        </w:rPr>
        <w:t xml:space="preserve">Ontario's Reg. 851 s. 79 is the tightest wording in the country and it is often missed: a worker required to wear or use protective clothing, equipment or a device «shall be instructed and trained in its care and use **before** wearing or using» it. Before. Alberta s. 228(1)(d) asks for training in the correct use, care, limitations and assigned maintenance.</w:t>
      </w:r>
    </w:p>
    <w:p>
      <w:pPr>
        <w:pStyle w:val="SaBody"/>
      </w:pPr>
      <w:r>
        <w:rPr>
          <w:b/>
          <w:bCs/>
        </w:rPr>
        <w:t xml:space="preserve">Note the word «limitations» in the Alberta list. A worker who does not know what the equipment does not protect against has not been trained.</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1994"/>
        <w:gridCol w:w="1396"/>
        <w:gridCol w:w="1595"/>
        <w:gridCol w:w="1595"/>
        <w:gridCol w:w="1595"/>
        <w:gridCol w:w="1797"/>
      </w:tblGrid>
      <w:tr>
        <w:trPr>
          <w:tblHeader/>
        </w:trPr>
        <w:tc>
          <w:tcPr>
            <w:tcW w:type="dxa" w:w="1994"/>
            <w:shd w:fill="014259" w:color="auto" w:val="clear"/>
            <w:tcMar>
              <w:top w:type="dxa" w:w="60"/>
              <w:left w:type="dxa" w:w="100"/>
              <w:bottom w:type="dxa" w:w="60"/>
              <w:right w:type="dxa" w:w="100"/>
            </w:tcMar>
          </w:tcPr>
          <w:p>
            <w:pPr>
              <w:pStyle w:val="SaCellHeader"/>
            </w:pPr>
            <w:r>
              <w:t xml:space="preserve">Equipment</w:t>
            </w:r>
          </w:p>
        </w:tc>
        <w:tc>
          <w:tcPr>
            <w:tcW w:type="dxa" w:w="1396"/>
            <w:shd w:fill="014259" w:color="auto" w:val="clear"/>
            <w:tcMar>
              <w:top w:type="dxa" w:w="60"/>
              <w:left w:type="dxa" w:w="100"/>
              <w:bottom w:type="dxa" w:w="60"/>
              <w:right w:type="dxa" w:w="100"/>
            </w:tcMar>
          </w:tcPr>
          <w:p>
            <w:pPr>
              <w:pStyle w:val="SaCellHeader"/>
            </w:pPr>
            <w:r>
              <w:t xml:space="preserve">Use and care</w:t>
            </w:r>
          </w:p>
        </w:tc>
        <w:tc>
          <w:tcPr>
            <w:tcW w:type="dxa" w:w="1595"/>
            <w:shd w:fill="014259" w:color="auto" w:val="clear"/>
            <w:tcMar>
              <w:top w:type="dxa" w:w="60"/>
              <w:left w:type="dxa" w:w="100"/>
              <w:bottom w:type="dxa" w:w="60"/>
              <w:right w:type="dxa" w:w="100"/>
            </w:tcMar>
          </w:tcPr>
          <w:p>
            <w:pPr>
              <w:pStyle w:val="SaCellHeader"/>
            </w:pPr>
            <w:r>
              <w:t xml:space="preserve">Limitations explained</w:t>
            </w:r>
          </w:p>
        </w:tc>
        <w:tc>
          <w:tcPr>
            <w:tcW w:type="dxa" w:w="1595"/>
            <w:shd w:fill="014259" w:color="auto" w:val="clear"/>
            <w:tcMar>
              <w:top w:type="dxa" w:w="60"/>
              <w:left w:type="dxa" w:w="100"/>
              <w:bottom w:type="dxa" w:w="60"/>
              <w:right w:type="dxa" w:w="100"/>
            </w:tcMar>
          </w:tcPr>
          <w:p>
            <w:pPr>
              <w:pStyle w:val="SaCellHeader"/>
            </w:pPr>
            <w:r>
              <w:t xml:space="preserve">Assigned maintenance</w:t>
            </w:r>
          </w:p>
        </w:tc>
        <w:tc>
          <w:tcPr>
            <w:tcW w:type="dxa" w:w="1595"/>
            <w:shd w:fill="014259" w:color="auto" w:val="clear"/>
            <w:tcMar>
              <w:top w:type="dxa" w:w="60"/>
              <w:left w:type="dxa" w:w="100"/>
              <w:bottom w:type="dxa" w:w="60"/>
              <w:right w:type="dxa" w:w="100"/>
            </w:tcMar>
          </w:tcPr>
          <w:p>
            <w:pPr>
              <w:pStyle w:val="SaCellHeader"/>
            </w:pPr>
            <w:r>
              <w:t xml:space="preserve">Date (before first use)</w:t>
            </w:r>
          </w:p>
        </w:tc>
        <w:tc>
          <w:tcPr>
            <w:tcW w:type="dxa" w:w="1797"/>
            <w:shd w:fill="014259" w:color="auto" w:val="clear"/>
            <w:tcMar>
              <w:top w:type="dxa" w:w="60"/>
              <w:left w:type="dxa" w:w="100"/>
              <w:bottom w:type="dxa" w:w="60"/>
              <w:right w:type="dxa" w:w="100"/>
            </w:tcMar>
          </w:tcPr>
          <w:p>
            <w:pPr>
              <w:pStyle w:val="SaCellHeader"/>
            </w:pPr>
            <w:r>
              <w:t xml:space="preserve">Trainer</w:t>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5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6. Respirator fit testing</w:t>
      </w:r>
    </w:p>
    <w:p>
      <w:pPr>
        <w:pStyle w:val="SaBasis"/>
      </w:pPr>
      <w:r>
        <w:t xml:space="preserve">— required by law</w:t>
      </w:r>
    </w:p>
    <w:p>
      <w:pPr>
        <w:pStyle w:val="SaBody"/>
      </w:pPr>
      <w:r>
        <w:rPr>
          <w:b w:val="false"/>
          <w:bCs w:val="false"/>
        </w:rPr>
        <w:t xml:space="preserve">The one PPE record with a hard schedule attached. In British Columbia a fit test is required before initial use of a respirator, **at least once a year**, whenever the facepiece changes — brand, model or size — and whenever a change in the wearer's physical condition could affect the fit.</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546"/>
        <w:gridCol w:w="1697"/>
        <w:gridCol w:w="1273"/>
        <w:gridCol w:w="1273"/>
        <w:gridCol w:w="1273"/>
        <w:gridCol w:w="1910"/>
      </w:tblGrid>
      <w:tr>
        <w:trPr>
          <w:tblHeader/>
        </w:trPr>
        <w:tc>
          <w:tcPr>
            <w:tcW w:type="dxa" w:w="2546"/>
            <w:shd w:fill="014259" w:color="auto" w:val="clear"/>
            <w:tcMar>
              <w:top w:type="dxa" w:w="60"/>
              <w:left w:type="dxa" w:w="100"/>
              <w:bottom w:type="dxa" w:w="60"/>
              <w:right w:type="dxa" w:w="100"/>
            </w:tcMar>
          </w:tcPr>
          <w:p>
            <w:pPr>
              <w:pStyle w:val="SaCellHeader"/>
            </w:pPr>
            <w:r>
              <w:t xml:space="preserve">Respirator make, model, size</w:t>
            </w:r>
          </w:p>
        </w:tc>
        <w:tc>
          <w:tcPr>
            <w:tcW w:type="dxa" w:w="1697"/>
            <w:shd w:fill="014259" w:color="auto" w:val="clear"/>
            <w:tcMar>
              <w:top w:type="dxa" w:w="60"/>
              <w:left w:type="dxa" w:w="100"/>
              <w:bottom w:type="dxa" w:w="60"/>
              <w:right w:type="dxa" w:w="100"/>
            </w:tcMar>
          </w:tcPr>
          <w:p>
            <w:pPr>
              <w:pStyle w:val="SaCellHeader"/>
            </w:pPr>
            <w:r>
              <w:t xml:space="preserve">Fit test method</w:t>
            </w:r>
          </w:p>
        </w:tc>
        <w:tc>
          <w:tcPr>
            <w:tcW w:type="dxa" w:w="1273"/>
            <w:shd w:fill="014259" w:color="auto" w:val="clear"/>
            <w:tcMar>
              <w:top w:type="dxa" w:w="60"/>
              <w:left w:type="dxa" w:w="100"/>
              <w:bottom w:type="dxa" w:w="60"/>
              <w:right w:type="dxa" w:w="100"/>
            </w:tcMar>
          </w:tcPr>
          <w:p>
            <w:pPr>
              <w:pStyle w:val="SaCellHeader"/>
            </w:pPr>
            <w:r>
              <w:t xml:space="preserve">Result</w:t>
            </w:r>
          </w:p>
        </w:tc>
        <w:tc>
          <w:tcPr>
            <w:tcW w:type="dxa" w:w="1273"/>
            <w:shd w:fill="014259" w:color="auto" w:val="clear"/>
            <w:tcMar>
              <w:top w:type="dxa" w:w="60"/>
              <w:left w:type="dxa" w:w="100"/>
              <w:bottom w:type="dxa" w:w="60"/>
              <w:right w:type="dxa" w:w="100"/>
            </w:tcMar>
          </w:tcPr>
          <w:p>
            <w:pPr>
              <w:pStyle w:val="SaCellHeader"/>
            </w:pPr>
            <w:r>
              <w:t xml:space="preserve">Tested on</w:t>
            </w:r>
          </w:p>
        </w:tc>
        <w:tc>
          <w:tcPr>
            <w:tcW w:type="dxa" w:w="1273"/>
            <w:shd w:fill="014259" w:color="auto" w:val="clear"/>
            <w:tcMar>
              <w:top w:type="dxa" w:w="60"/>
              <w:left w:type="dxa" w:w="100"/>
              <w:bottom w:type="dxa" w:w="60"/>
              <w:right w:type="dxa" w:w="100"/>
            </w:tcMar>
          </w:tcPr>
          <w:p>
            <w:pPr>
              <w:pStyle w:val="SaCellHeader"/>
            </w:pPr>
            <w:r>
              <w:t xml:space="preserve">Next test due</w:t>
            </w:r>
          </w:p>
        </w:tc>
        <w:tc>
          <w:tcPr>
            <w:tcW w:type="dxa" w:w="1910"/>
            <w:shd w:fill="014259" w:color="auto" w:val="clear"/>
            <w:tcMar>
              <w:top w:type="dxa" w:w="60"/>
              <w:left w:type="dxa" w:w="100"/>
              <w:bottom w:type="dxa" w:w="60"/>
              <w:right w:type="dxa" w:w="100"/>
            </w:tcMar>
          </w:tcPr>
          <w:p>
            <w:pPr>
              <w:pStyle w:val="SaCellHeader"/>
            </w:pPr>
            <w:r>
              <w:t xml:space="preserve">Tester</w:t>
            </w:r>
          </w:p>
        </w:tc>
      </w:tr>
      <w:tr>
        <w:trPr>
          <w:trHeight w:val="460" w:hRule="atLeast"/>
        </w:trPr>
        <w:tc>
          <w:tcPr>
            <w:tcW w:type="dxa" w:w="254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1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54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1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54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1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54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1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54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1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54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2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1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Facial hair at the seal, dentures, significant weight change and dental or facial surgery are the changes that most often invalidate a fit — and they are why the trigger is written as a condition rather than only as a date.</w:t>
      </w:r>
    </w:p>
    <w:p>
      <w:pPr>
        <w:pStyle w:val="SaBody"/>
      </w:pPr>
      <w:r>
        <w:rPr>
          <w:b w:val="false"/>
          <w:bCs w:val="false"/>
        </w:rPr>
        <w:t xml:space="preserve">Where PPE is used against a chemical exposure or in an oxygen-deficient atmosphere, British Columbia also requires a written programme: procedures for selection, use, inspection, cleaning, maintenance and storage, plus instruction and training (OHS Regulation s. 8.5). This sheet records the issue; that programme is a separate document.</w:t>
      </w:r>
    </w:p>
    <w:p>
      <w:pPr>
        <w:pStyle w:val="SaH1"/>
      </w:pPr>
      <w:r>
        <w:t xml:space="preserve">7. Inspection, replacement and return</w:t>
      </w:r>
    </w:p>
    <w:p>
      <w:pPr>
        <w:pStyle w:val="SaBasis"/>
      </w:pPr>
      <w:r>
        <w:t xml:space="preserve">— required by law</w:t>
      </w:r>
    </w:p>
    <w:p>
      <w:pPr>
        <w:pStyle w:val="SaBody"/>
      </w:pPr>
      <w:r>
        <w:rPr>
          <w:b w:val="false"/>
          <w:bCs w:val="false"/>
        </w:rPr>
        <w:t xml:space="preserve">Alberta s. 228(2) puts three duties on the worker: use and wear the equipment properly in accordance with the training received, **inspect it before using it**, and not use equipment unable to perform its function. A record of replacements is what makes the second of those enforceable rather than aspirational.</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997"/>
        <w:gridCol w:w="1994"/>
        <w:gridCol w:w="2991"/>
        <w:gridCol w:w="1994"/>
        <w:gridCol w:w="1996"/>
      </w:tblGrid>
      <w:tr>
        <w:trPr>
          <w:tblHeader/>
        </w:trPr>
        <w:tc>
          <w:tcPr>
            <w:tcW w:type="dxa" w:w="997"/>
            <w:shd w:fill="014259" w:color="auto" w:val="clear"/>
            <w:tcMar>
              <w:top w:type="dxa" w:w="60"/>
              <w:left w:type="dxa" w:w="100"/>
              <w:bottom w:type="dxa" w:w="60"/>
              <w:right w:type="dxa" w:w="100"/>
            </w:tcMar>
          </w:tcPr>
          <w:p>
            <w:pPr>
              <w:pStyle w:val="SaCellHeader"/>
            </w:pPr>
            <w:r>
              <w:t xml:space="preserve">Date</w:t>
            </w:r>
          </w:p>
        </w:tc>
        <w:tc>
          <w:tcPr>
            <w:tcW w:type="dxa" w:w="1994"/>
            <w:shd w:fill="014259" w:color="auto" w:val="clear"/>
            <w:tcMar>
              <w:top w:type="dxa" w:w="60"/>
              <w:left w:type="dxa" w:w="100"/>
              <w:bottom w:type="dxa" w:w="60"/>
              <w:right w:type="dxa" w:w="100"/>
            </w:tcMar>
          </w:tcPr>
          <w:p>
            <w:pPr>
              <w:pStyle w:val="SaCellHeader"/>
            </w:pPr>
            <w:r>
              <w:t xml:space="preserve">Equipment</w:t>
            </w:r>
          </w:p>
        </w:tc>
        <w:tc>
          <w:tcPr>
            <w:tcW w:type="dxa" w:w="2991"/>
            <w:shd w:fill="014259" w:color="auto" w:val="clear"/>
            <w:tcMar>
              <w:top w:type="dxa" w:w="60"/>
              <w:left w:type="dxa" w:w="100"/>
              <w:bottom w:type="dxa" w:w="60"/>
              <w:right w:type="dxa" w:w="100"/>
            </w:tcMar>
          </w:tcPr>
          <w:p>
            <w:pPr>
              <w:pStyle w:val="SaCellHeader"/>
            </w:pPr>
            <w:r>
              <w:t xml:space="preserve">Reason: wear · defect · loss · expiry · job change · leaving</w:t>
            </w:r>
          </w:p>
        </w:tc>
        <w:tc>
          <w:tcPr>
            <w:tcW w:type="dxa" w:w="1994"/>
            <w:shd w:fill="014259" w:color="auto" w:val="clear"/>
            <w:tcMar>
              <w:top w:type="dxa" w:w="60"/>
              <w:left w:type="dxa" w:w="100"/>
              <w:bottom w:type="dxa" w:w="60"/>
              <w:right w:type="dxa" w:w="100"/>
            </w:tcMar>
          </w:tcPr>
          <w:p>
            <w:pPr>
              <w:pStyle w:val="SaCellHeader"/>
            </w:pPr>
            <w:r>
              <w:t xml:space="preserve">Replaced with</w:t>
            </w:r>
          </w:p>
        </w:tc>
        <w:tc>
          <w:tcPr>
            <w:tcW w:type="dxa" w:w="1996"/>
            <w:shd w:fill="014259" w:color="auto" w:val="clear"/>
            <w:tcMar>
              <w:top w:type="dxa" w:w="60"/>
              <w:left w:type="dxa" w:w="100"/>
              <w:bottom w:type="dxa" w:w="60"/>
              <w:right w:type="dxa" w:w="100"/>
            </w:tcMar>
          </w:tcPr>
          <w:p>
            <w:pPr>
              <w:pStyle w:val="SaCellHeader"/>
            </w:pPr>
            <w:r>
              <w:t xml:space="preserve">Initials</w:t>
            </w:r>
          </w:p>
        </w:tc>
      </w:tr>
      <w:tr>
        <w:trPr>
          <w:trHeight w:val="460" w:hRule="atLeast"/>
        </w:trPr>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8. Sign-off</w:t>
      </w:r>
    </w:p>
    <w:p>
      <w:pPr>
        <w:pStyle w:val="SaBasis"/>
      </w:pPr>
      <w:r>
        <w:t xml:space="preserve">— industry practice, nothing requires it</w:t>
      </w:r>
    </w:p>
    <w:p>
      <w:pPr>
        <w:pStyle w:val="SaBody"/>
      </w:pPr>
      <w:r>
        <w:rPr>
          <w:b w:val="false"/>
          <w:bCs w:val="false"/>
        </w:rPr>
        <w:t xml:space="preserve">The worker's signature records that the equipment and the instruction were given. It is not an assumption of risk and not a waiver — a distinction most issue sheets leave out, and one that changes what the document is worth.</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4986"/>
        <w:gridCol w:w="4986"/>
      </w:tblGrid>
      <w:tr>
        <w:tc>
          <w:tcPr>
            <w:tcW w:type="dxa" w:w="4986"/>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Worker</w:t>
            </w:r>
          </w:p>
          <w:p>
            <w:pPr>
              <w:pStyle w:val="SaHint"/>
            </w:pPr>
            <w:r>
              <w:t xml:space="preserve">Confirms receipt of the equipment, the instruction and the training</w:t>
            </w:r>
          </w:p>
        </w:tc>
        <w:tc>
          <w:tcPr>
            <w:tcW w:type="dxa" w:w="4986"/>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Supervisor issuing</w:t>
            </w:r>
          </w:p>
          <w:p>
            <w:pPr>
              <w:pStyle w:val="SaHint"/>
            </w:pPr>
            <w:r>
              <w:t xml:space="preserve">Name, title, date</w:t>
            </w:r>
          </w:p>
        </w:tc>
      </w:tr>
      <w:tr>
        <w:trPr>
          <w:trHeight w:val="1100" w:hRule="atLeast"/>
        </w:trPr>
        <w:tc>
          <w:tcPr>
            <w:tcW w:type="dxa" w:w="498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98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Sources</w:t>
      </w:r>
    </w:p>
    <w:p>
      <w:pPr>
        <w:pStyle w:val="ListParagraph"/>
        <w:pStyle w:val="SaNote"/>
        <w:numPr>
          <w:ilvl w:val="0"/>
          <w:numId w:val="1"/>
        </w:numPr>
      </w:pPr>
      <w:r>
        <w:t xml:space="preserve">BC OHS Regulation, Part 8 — personal protective clothing and equipment — </w:t>
      </w:r>
      <w:hyperlink w:history="1" r:id="rIdugchjpcpjjb64ofrx4i-0">
        <w:r>
          <w:rPr>
            <w:color w:val="005674"/>
            <w:u w:val="single"/>
          </w:rPr>
          <w:t xml:space="preserve">https://www.worksafebc.com/en/law-policy/occupational-health-safety/searchable-ohs-regulation/ohs-regulation/part-08-personal-protective-clothing-and-equipment</w:t>
        </w:r>
      </w:hyperlink>
    </w:p>
    <w:p>
      <w:pPr>
        <w:pStyle w:val="ListParagraph"/>
        <w:pStyle w:val="SaNote"/>
        <w:numPr>
          <w:ilvl w:val="0"/>
          <w:numId w:val="1"/>
        </w:numPr>
      </w:pPr>
      <w:r>
        <w:t xml:space="preserve">Alberta OHS Code, Part 18 — personal protective equipment — </w:t>
      </w:r>
      <w:hyperlink w:history="1" r:id="rIdqekna5ayf5xr8h89_usdt">
        <w:r>
          <w:rPr>
            <w:color w:val="005674"/>
            <w:u w:val="single"/>
          </w:rPr>
          <w:t xml:space="preserve">https://search-ohs-laws.alberta.ca/legislation/occupational-health-and-safety-code/part-18-personal-protective-equipment/</w:t>
        </w:r>
      </w:hyperlink>
    </w:p>
    <w:p>
      <w:pPr>
        <w:pStyle w:val="ListParagraph"/>
        <w:pStyle w:val="SaNote"/>
        <w:numPr>
          <w:ilvl w:val="0"/>
          <w:numId w:val="1"/>
        </w:numPr>
      </w:pPr>
      <w:r>
        <w:t xml:space="preserve">R.R.O. 1990, Reg. 851 — Industrial Establishments, ss. 79 to 86 — </w:t>
      </w:r>
      <w:hyperlink w:history="1" r:id="rIdz97ta7ypds1d5okqjne6s">
        <w:r>
          <w:rPr>
            <w:color w:val="005674"/>
            <w:u w:val="single"/>
          </w:rPr>
          <w:t xml:space="preserve">https://www.ontario.ca/laws/regulation/900851</w:t>
        </w:r>
      </w:hyperlink>
    </w:p>
    <w:p>
      <w:pPr>
        <w:pStyle w:val="ListParagraph"/>
        <w:pStyle w:val="SaNote"/>
        <w:numPr>
          <w:ilvl w:val="0"/>
          <w:numId w:val="1"/>
        </w:numPr>
      </w:pPr>
      <w:r>
        <w:t xml:space="preserve">CNESST — équipement de protection individuelle — </w:t>
      </w:r>
      <w:hyperlink w:history="1" r:id="rId9kpsmrejx1itpzej-dsrv">
        <w:r>
          <w:rPr>
            <w:color w:val="005674"/>
            <w:u w:val="single"/>
          </w:rPr>
          <w:t xml:space="preserve">https://www.cnesst.gouv.qc.ca/fr/prevention-securite/organiser-prevention/sante-securite-travail-pour-tous/equipement-protection-individuelle</w:t>
        </w:r>
      </w:hyperlink>
    </w:p>
    <w:p>
      <w:pPr>
        <w:pStyle w:val="SaNote"/>
      </w:pPr>
      <w:r>
        <w:rPr>
          <w:b w:val="false"/>
          <w:bCs w:val="false"/>
        </w:rPr>
        <w:t xml:space="preserve">Content last reviewed 2026-09-08 · This template's page — https://safeally.net/en-ca/templates/ppe-issue-record/</w:t>
      </w:r>
    </w:p>
    <w:p>
      <w:pPr>
        <w:pStyle w:val="SaNote"/>
      </w:pPr>
      <w:r>
        <w:rPr>
          <w:b w:val="false"/>
          <w:bCs w:val="false"/>
        </w:rPr>
        <w:t xml:space="preserve">SafeAlly — safeally.net · free, no account, editable document</w:t>
      </w:r>
    </w:p>
    <w:sectPr>
      <w:headerReference w:type="default" r:id="rId7"/>
      <w:footerReference w:type="default" r:id="rId8"/>
      <w:pgSz w:w="12240" w:h="15840"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972"/>
      </w:tabs>
    </w:pPr>
    <w:r>
      <w:t xml:space="preserve">Content last reviewed 2026-09-08 · safeally.net</w:t>
    </w:r>
    <w:r>
      <w:t xml:space="preserve">	</w:t>
      <w:t xml:space="preserve">Page </w:t>
      <w:fldChar w:fldCharType="begin"/>
      <w:instrText xml:space="preserve">PAGE</w:instrText>
      <w:fldChar w:fldCharType="separate"/>
      <w:fldChar w:fldCharType="end"/>
    </w:r>
    <w:r>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PPE issue record — …………………………………………… — sheet no.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www.worksafebc.com/en/law-policy/occupational-health-safety/searchable-ohs-regulation/ohs-regulation/part-08-personal-protective-clothing-and-equipment" TargetMode="External"/><Relationship Id="rIdqekna5ayf5xr8h89_usdt" Type="http://schemas.openxmlformats.org/officeDocument/2006/relationships/hyperlink" Target="https://search-ohs-laws.alberta.ca/legislation/occupational-health-and-safety-code/part-18-personal-protective-equipment/" TargetMode="External"/><Relationship Id="rIdz97ta7ypds1d5okqjne6s" Type="http://schemas.openxmlformats.org/officeDocument/2006/relationships/hyperlink" Target="https://www.ontario.ca/laws/regulation/900851" TargetMode="External"/><Relationship Id="rId9kpsmrejx1itpzej-dsrv" Type="http://schemas.openxmlformats.org/officeDocument/2006/relationships/hyperlink" Target="https://www.cnesst.gouv.qc.ca/fr/prevention-securite/organiser-prevention/sante-securite-travail-pour-tous/equipement-protection-individuelle"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PPE issue and training record — Canada</dc:title>
  <dc:subject>Blank personal protective equipment issue and training record for Canadian workplaces. SafeAlly, safeally.net.</dc:subject>
  <dc:creator>SafeAlly — safeally.net</dc:creator>
  <dc:description>Blank personal protective equipment issue and training record for Canadian workplaces.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