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SaTitle"/>
      </w:pPr>
      <w:r>
        <w:t xml:space="preserve">Ficha de entrega de equipos de protección individual</w:t>
      </w:r>
    </w:p>
    <w:p>
      <w:pPr>
        <w:pStyle w:val="SaSubtitle"/>
      </w:pPr>
      <w:r>
        <w:t xml:space="preserve">España — RD 773/1997, artículos 3 a 10, y Ley 31/1995, artículo 17</w:t>
      </w:r>
    </w:p>
    <w:tbl>
      <w:tblPr>
        <w:tblW w:type="dxa" w:w="9638"/>
        <w:tblBorders>
          <w:top w:val="single" w:color="FFC250" w:sz="8"/>
          <w:left w:val="single" w:color="FFC250" w:sz="8"/>
          <w:bottom w:val="single" w:color="FFC250" w:sz="8"/>
          <w:right w:val="single" w:color="FFC250" w:sz="8"/>
          <w:insideH w:val="none" w:color="auto" w:sz="0"/>
          <w:insideV w:val="none" w:color="auto" w:sz="0"/>
        </w:tblBorders>
      </w:tblPr>
      <w:tblGrid>
        <w:gridCol w:w="9638"/>
      </w:tblGrid>
      <w:tr>
        <w:tc>
          <w:tcPr>
            <w:tcW w:type="dxa" w:w="9638"/>
            <w:shd w:fill="FFEED3" w:color="auto" w:val="clear"/>
            <w:tcMar>
              <w:top w:type="dxa" w:w="160"/>
              <w:left w:type="dxa" w:w="200"/>
              <w:bottom w:type="dxa" w:w="160"/>
              <w:right w:type="dxa" w:w="200"/>
            </w:tcMar>
          </w:tcPr>
          <w:p>
            <w:pPr>
              <w:pStyle w:val="SaCell"/>
            </w:pPr>
            <w:r>
              <w:rPr>
                <w:b/>
                <w:bCs/>
              </w:rPr>
              <w:t xml:space="preserve">Lo que esta ficha no es</w:t>
            </w:r>
          </w:p>
          <w:p>
            <w:pPr>
              <w:pStyle w:val="SaCell"/>
            </w:pPr>
            <w:r>
              <w:t xml:space="preserve">No es un descargo de responsabilidad. La firma acredita la entrega y la información recibida; no traslada nada al trabajador. El EPI es el último recurso de la jerarquía preventiva, y entregarlo contra firma en un puesto donde el riesgo podía eliminarse sigue siendo un incumplimiento. Nada de esto es asesoramiento jurídico.</w:t>
            </w:r>
          </w:p>
        </w:tc>
      </w:tr>
    </w:tbl>
    <w:p>
      <w:pPr>
        <w:pStyle w:val="SaChrome"/>
      </w:pPr>
    </w:p>
    <w:p>
      <w:pPr>
        <w:pStyle w:val="SaBody"/>
      </w:pPr>
      <w:r>
        <w:rPr>
          <w:b w:val="false"/>
          <w:bCs w:val="false"/>
        </w:rPr>
        <w:t xml:space="preserve">Las zonas sombreadas son para rellenar. Lo que aparece entre corchetes es un ejemplo: sustitúyalo. El documento es editable: elimine lo que no le afecte, pero lea antes la nota de cada apartado.</w:t>
      </w:r>
    </w:p>
    <w:p>
      <w:pPr>
        <w:pStyle w:val="SaH1"/>
      </w:pPr>
      <w:r>
        <w:t xml:space="preserve">1. Trabajador y puesto</w:t>
      </w:r>
    </w:p>
    <w:p>
      <w:pPr>
        <w:pStyle w:val="SaBasis"/>
      </w:pPr>
      <w:r>
        <w:t xml:space="preserve">— práctica del sector, nada lo exige</w:t>
      </w:r>
    </w:p>
    <w:tbl>
      <w:tblPr>
        <w:tblW w:type="dxa" w:w="9638"/>
        <w:tblBorders>
          <w:top w:val="none" w:color="auto" w:sz="0"/>
          <w:left w:val="none" w:color="auto" w:sz="0"/>
          <w:bottom w:val="none" w:color="auto" w:sz="0"/>
          <w:right w:val="none" w:color="auto" w:sz="0"/>
          <w:insideH w:val="none" w:color="auto" w:sz="0"/>
          <w:insideV w:val="none" w:color="auto" w:sz="0"/>
        </w:tblBorders>
      </w:tblPr>
      <w:tblGrid>
        <w:gridCol w:w="2505"/>
        <w:gridCol w:w="2313"/>
        <w:gridCol w:w="2505"/>
        <w:gridCol w:w="2315"/>
      </w:tblGrid>
      <w:tr>
        <w:tc>
          <w:tcPr>
            <w:tcW w:type="dxa" w:w="2505"/>
            <w:tcBorders>
              <w:top w:val="none" w:color="auto" w:sz="0"/>
              <w:left w:val="none" w:color="auto" w:sz="0"/>
              <w:bottom w:val="none" w:color="auto" w:sz="0"/>
              <w:right w:val="none" w:color="auto" w:sz="0"/>
            </w:tcBorders>
            <w:tcMar>
              <w:top w:type="dxa" w:w="80"/>
              <w:left w:type="dxa" w:w="0"/>
              <w:bottom w:type="dxa" w:w="80"/>
              <w:right w:type="dxa" w:w="120"/>
            </w:tcMar>
            <w:vAlign w:val="center"/>
          </w:tcPr>
          <w:p>
            <w:pPr>
              <w:pStyle w:val="SaCell"/>
            </w:pPr>
            <w:r>
              <w:rPr>
                <w:b/>
                <w:bCs/>
              </w:rPr>
              <w:t xml:space="preserve">Nombre y apellidos</w:t>
            </w:r>
          </w:p>
        </w:tc>
        <w:tc>
          <w:tcPr>
            <w:tcW w:type="dxa" w:w="2313"/>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2505"/>
            <w:tcBorders>
              <w:top w:val="none" w:color="auto" w:sz="0"/>
              <w:left w:val="none" w:color="auto" w:sz="0"/>
              <w:bottom w:val="none" w:color="auto" w:sz="0"/>
              <w:right w:val="none" w:color="auto" w:sz="0"/>
            </w:tcBorders>
            <w:tcMar>
              <w:top w:type="dxa" w:w="80"/>
              <w:left w:type="dxa" w:w="0"/>
              <w:bottom w:type="dxa" w:w="80"/>
              <w:right w:type="dxa" w:w="120"/>
            </w:tcMar>
            <w:vAlign w:val="center"/>
          </w:tcPr>
          <w:p>
            <w:pPr>
              <w:pStyle w:val="SaCell"/>
            </w:pPr>
            <w:r>
              <w:rPr>
                <w:b/>
                <w:bCs/>
              </w:rPr>
              <w:t xml:space="preserve">N.º de empleado</w:t>
            </w:r>
          </w:p>
        </w:tc>
        <w:tc>
          <w:tcPr>
            <w:tcW w:type="dxa" w:w="2315"/>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r>
      <w:tr>
        <w:tc>
          <w:tcPr>
            <w:tcW w:type="dxa" w:w="2505"/>
            <w:tcBorders>
              <w:top w:val="none" w:color="auto" w:sz="0"/>
              <w:left w:val="none" w:color="auto" w:sz="0"/>
              <w:bottom w:val="none" w:color="auto" w:sz="0"/>
              <w:right w:val="none" w:color="auto" w:sz="0"/>
            </w:tcBorders>
            <w:tcMar>
              <w:top w:type="dxa" w:w="80"/>
              <w:left w:type="dxa" w:w="0"/>
              <w:bottom w:type="dxa" w:w="80"/>
              <w:right w:type="dxa" w:w="120"/>
            </w:tcMar>
            <w:vAlign w:val="center"/>
          </w:tcPr>
          <w:p>
            <w:pPr>
              <w:pStyle w:val="SaCell"/>
            </w:pPr>
            <w:r>
              <w:rPr>
                <w:b/>
                <w:bCs/>
              </w:rPr>
              <w:t xml:space="preserve">Puesto de trabajo</w:t>
            </w:r>
          </w:p>
        </w:tc>
        <w:tc>
          <w:tcPr>
            <w:tcW w:type="dxa" w:w="2313"/>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2505"/>
            <w:tcBorders>
              <w:top w:val="none" w:color="auto" w:sz="0"/>
              <w:left w:val="none" w:color="auto" w:sz="0"/>
              <w:bottom w:val="none" w:color="auto" w:sz="0"/>
              <w:right w:val="none" w:color="auto" w:sz="0"/>
            </w:tcBorders>
            <w:tcMar>
              <w:top w:type="dxa" w:w="80"/>
              <w:left w:type="dxa" w:w="0"/>
              <w:bottom w:type="dxa" w:w="80"/>
              <w:right w:type="dxa" w:w="120"/>
            </w:tcMar>
            <w:vAlign w:val="center"/>
          </w:tcPr>
          <w:p>
            <w:pPr>
              <w:pStyle w:val="SaCell"/>
            </w:pPr>
            <w:r>
              <w:rPr>
                <w:b/>
                <w:bCs/>
              </w:rPr>
              <w:t xml:space="preserve">Centro o servicio</w:t>
            </w:r>
          </w:p>
        </w:tc>
        <w:tc>
          <w:tcPr>
            <w:tcW w:type="dxa" w:w="2315"/>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r>
      <w:tr>
        <w:tc>
          <w:tcPr>
            <w:tcW w:type="dxa" w:w="2505"/>
            <w:tcBorders>
              <w:top w:val="none" w:color="auto" w:sz="0"/>
              <w:left w:val="none" w:color="auto" w:sz="0"/>
              <w:bottom w:val="none" w:color="auto" w:sz="0"/>
              <w:right w:val="none" w:color="auto" w:sz="0"/>
            </w:tcBorders>
            <w:tcMar>
              <w:top w:type="dxa" w:w="80"/>
              <w:left w:type="dxa" w:w="0"/>
              <w:bottom w:type="dxa" w:w="80"/>
              <w:right w:type="dxa" w:w="120"/>
            </w:tcMar>
            <w:vAlign w:val="center"/>
          </w:tcPr>
          <w:p>
            <w:pPr>
              <w:pStyle w:val="SaCell"/>
            </w:pPr>
            <w:r>
              <w:rPr>
                <w:b/>
                <w:bCs/>
              </w:rPr>
              <w:t xml:space="preserve">Fecha de incorporación al puesto</w:t>
            </w:r>
          </w:p>
        </w:tc>
        <w:tc>
          <w:tcPr>
            <w:tcW w:type="dxa" w:w="2313"/>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2505"/>
            <w:tcBorders>
              <w:top w:val="none" w:color="auto" w:sz="0"/>
              <w:left w:val="none" w:color="auto" w:sz="0"/>
              <w:bottom w:val="none" w:color="auto" w:sz="0"/>
              <w:right w:val="none" w:color="auto" w:sz="0"/>
            </w:tcBorders>
            <w:tcMar>
              <w:top w:type="dxa" w:w="80"/>
              <w:left w:type="dxa" w:w="0"/>
              <w:bottom w:type="dxa" w:w="80"/>
              <w:right w:type="dxa" w:w="120"/>
            </w:tcMar>
            <w:vAlign w:val="center"/>
          </w:tcPr>
          <w:p>
            <w:pPr>
              <w:pStyle w:val="SaCell"/>
            </w:pPr>
            <w:r>
              <w:rPr>
                <w:b/>
                <w:bCs/>
              </w:rPr>
              <w:t xml:space="preserve">Responsable directo</w:t>
            </w:r>
          </w:p>
        </w:tc>
        <w:tc>
          <w:tcPr>
            <w:tcW w:type="dxa" w:w="2315"/>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r>
      <w:tr>
        <w:tc>
          <w:tcPr>
            <w:tcW w:type="dxa" w:w="2505"/>
            <w:tcBorders>
              <w:top w:val="none" w:color="auto" w:sz="0"/>
              <w:left w:val="none" w:color="auto" w:sz="0"/>
              <w:bottom w:val="none" w:color="auto" w:sz="0"/>
              <w:right w:val="none" w:color="auto" w:sz="0"/>
            </w:tcBorders>
            <w:tcMar>
              <w:top w:type="dxa" w:w="80"/>
              <w:left w:type="dxa" w:w="0"/>
              <w:bottom w:type="dxa" w:w="80"/>
              <w:right w:type="dxa" w:w="120"/>
            </w:tcMar>
            <w:vAlign w:val="center"/>
          </w:tcPr>
          <w:p>
            <w:pPr>
              <w:pStyle w:val="SaCell"/>
            </w:pPr>
            <w:r>
              <w:rPr>
                <w:b/>
                <w:bCs/>
              </w:rPr>
              <w:t xml:space="preserve">Puesto de la evaluación de riesgos correspondiente</w:t>
            </w:r>
          </w:p>
        </w:tc>
        <w:tc>
          <w:tcPr>
            <w:tcW w:type="dxa" w:w="7133"/>
            <w:gridSpan w:val="3"/>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Hint"/>
            </w:pPr>
            <w:r>
              <w:t xml:space="preserve">[enlaza con el art. 7.a) del RD 39/1997]</w:t>
            </w:r>
          </w:p>
        </w:tc>
      </w:tr>
    </w:tbl>
    <w:p>
      <w:pPr>
        <w:pStyle w:val="SaChrome"/>
      </w:pPr>
    </w:p>
    <w:p>
      <w:pPr>
        <w:pStyle w:val="SaH1"/>
      </w:pPr>
      <w:r>
        <w:t xml:space="preserve">2. Determinación del puesto y de los riesgos</w:t>
      </w:r>
    </w:p>
    <w:p>
      <w:pPr>
        <w:pStyle w:val="SaBasis"/>
      </w:pPr>
      <w:r>
        <w:t xml:space="preserve">— exigido por la normativa</w:t>
      </w:r>
    </w:p>
    <w:p>
      <w:pPr>
        <w:pStyle w:val="SaBody"/>
      </w:pPr>
      <w:r>
        <w:rPr>
          <w:b w:val="false"/>
          <w:bCs w:val="false"/>
        </w:rPr>
        <w:t xml:space="preserve">El artículo 3.a) del RD 773/1997 obliga al empresario a determinar los puestos en los que deba recurrirse a la protección individual y a precisar, para cada uno de esos puestos, el riesgo o riesgos frente a los que debe ofrecerse protección, **las partes del cuerpo a proteger** y el tipo de equipo que deberá utilizarse.</w:t>
      </w:r>
    </w:p>
    <w:p>
      <w:pPr>
        <w:pStyle w:val="SaBody"/>
      </w:pPr>
      <w:r>
        <w:rPr>
          <w:b/>
          <w:bCs/>
        </w:rPr>
        <w:t xml:space="preserve">Las tres columnas siguientes son literalmente esos tres datos. Una ficha que solo diga «guantes» incumple la letra a).</w:t>
      </w:r>
    </w:p>
    <w:tbl>
      <w:tblPr>
        <w:tblW w:type="dxa" w:w="9638"/>
        <w:tblBorders>
          <w:top w:val="none" w:color="auto" w:sz="0"/>
          <w:left w:val="none" w:color="auto" w:sz="0"/>
          <w:bottom w:val="none" w:color="auto" w:sz="0"/>
          <w:right w:val="none" w:color="auto" w:sz="0"/>
          <w:insideH w:val="none" w:color="auto" w:sz="0"/>
          <w:insideV w:val="none" w:color="auto" w:sz="0"/>
        </w:tblBorders>
      </w:tblPr>
      <w:tblGrid>
        <w:gridCol w:w="2698"/>
        <w:gridCol w:w="1927"/>
        <w:gridCol w:w="2313"/>
        <w:gridCol w:w="2700"/>
      </w:tblGrid>
      <w:tr>
        <w:trPr>
          <w:tblHeader/>
        </w:trPr>
        <w:tc>
          <w:tcPr>
            <w:tcW w:type="dxa" w:w="2698"/>
            <w:shd w:fill="014259" w:color="auto" w:val="clear"/>
            <w:tcMar>
              <w:top w:type="dxa" w:w="60"/>
              <w:left w:type="dxa" w:w="100"/>
              <w:bottom w:type="dxa" w:w="60"/>
              <w:right w:type="dxa" w:w="100"/>
            </w:tcMar>
          </w:tcPr>
          <w:p>
            <w:pPr>
              <w:pStyle w:val="SaCellHeader"/>
            </w:pPr>
            <w:r>
              <w:t xml:space="preserve">Riesgo frente al que se protege</w:t>
            </w:r>
          </w:p>
        </w:tc>
        <w:tc>
          <w:tcPr>
            <w:tcW w:type="dxa" w:w="1927"/>
            <w:shd w:fill="014259" w:color="auto" w:val="clear"/>
            <w:tcMar>
              <w:top w:type="dxa" w:w="60"/>
              <w:left w:type="dxa" w:w="100"/>
              <w:bottom w:type="dxa" w:w="60"/>
              <w:right w:type="dxa" w:w="100"/>
            </w:tcMar>
          </w:tcPr>
          <w:p>
            <w:pPr>
              <w:pStyle w:val="SaCellHeader"/>
            </w:pPr>
            <w:r>
              <w:t xml:space="preserve">Partes del cuerpo a proteger</w:t>
            </w:r>
          </w:p>
        </w:tc>
        <w:tc>
          <w:tcPr>
            <w:tcW w:type="dxa" w:w="2313"/>
            <w:shd w:fill="014259" w:color="auto" w:val="clear"/>
            <w:tcMar>
              <w:top w:type="dxa" w:w="60"/>
              <w:left w:type="dxa" w:w="100"/>
              <w:bottom w:type="dxa" w:w="60"/>
              <w:right w:type="dxa" w:w="100"/>
            </w:tcMar>
          </w:tcPr>
          <w:p>
            <w:pPr>
              <w:pStyle w:val="SaCellHeader"/>
            </w:pPr>
            <w:r>
              <w:t xml:space="preserve">Tipo de EPI que debe utilizarse</w:t>
            </w:r>
          </w:p>
        </w:tc>
        <w:tc>
          <w:tcPr>
            <w:tcW w:type="dxa" w:w="2700"/>
            <w:shd w:fill="014259" w:color="auto" w:val="clear"/>
            <w:tcMar>
              <w:top w:type="dxa" w:w="60"/>
              <w:left w:type="dxa" w:w="100"/>
              <w:bottom w:type="dxa" w:w="60"/>
              <w:right w:type="dxa" w:w="100"/>
            </w:tcMar>
          </w:tcPr>
          <w:p>
            <w:pPr>
              <w:pStyle w:val="SaCellHeader"/>
            </w:pPr>
            <w:r>
              <w:t xml:space="preserve">Medidas colectivas ya adoptadas</w:t>
            </w:r>
          </w:p>
        </w:tc>
      </w:tr>
      <w:tr>
        <w:trPr>
          <w:trHeight w:val="460" w:hRule="atLeast"/>
        </w:trPr>
        <w:tc>
          <w:tcPr>
            <w:tcW w:type="dxa" w:w="2698"/>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927"/>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2313"/>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2700"/>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r>
      <w:tr>
        <w:trPr>
          <w:trHeight w:val="460" w:hRule="atLeast"/>
        </w:trPr>
        <w:tc>
          <w:tcPr>
            <w:tcW w:type="dxa" w:w="2698"/>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927"/>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2313"/>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2700"/>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r>
      <w:tr>
        <w:trPr>
          <w:trHeight w:val="460" w:hRule="atLeast"/>
        </w:trPr>
        <w:tc>
          <w:tcPr>
            <w:tcW w:type="dxa" w:w="2698"/>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927"/>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2313"/>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2700"/>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r>
      <w:tr>
        <w:trPr>
          <w:trHeight w:val="460" w:hRule="atLeast"/>
        </w:trPr>
        <w:tc>
          <w:tcPr>
            <w:tcW w:type="dxa" w:w="2698"/>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927"/>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2313"/>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2700"/>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r>
      <w:tr>
        <w:trPr>
          <w:trHeight w:val="460" w:hRule="atLeast"/>
        </w:trPr>
        <w:tc>
          <w:tcPr>
            <w:tcW w:type="dxa" w:w="2698"/>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927"/>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2313"/>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2700"/>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r>
      <w:tr>
        <w:trPr>
          <w:trHeight w:val="460" w:hRule="atLeast"/>
        </w:trPr>
        <w:tc>
          <w:tcPr>
            <w:tcW w:type="dxa" w:w="2698"/>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927"/>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2313"/>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2700"/>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r>
    </w:tbl>
    <w:p>
      <w:pPr>
        <w:pStyle w:val="SaChrome"/>
      </w:pPr>
    </w:p>
    <w:p>
      <w:pPr>
        <w:pStyle w:val="SaH1"/>
      </w:pPr>
      <w:r>
        <w:t xml:space="preserve">3. Equipos entregados</w:t>
      </w:r>
    </w:p>
    <w:p>
      <w:pPr>
        <w:pStyle w:val="SaBasis"/>
      </w:pPr>
      <w:r>
        <w:t xml:space="preserve">— exigido por la normativa</w:t>
      </w:r>
    </w:p>
    <w:p>
      <w:pPr>
        <w:pStyle w:val="SaBody"/>
      </w:pPr>
      <w:r>
        <w:rPr>
          <w:b w:val="false"/>
          <w:bCs w:val="false"/>
        </w:rPr>
        <w:t xml:space="preserve">Artículo 3.c): el empresario está obligado a proporcionar gratuitamente los EPI que deban utilizarse, **reponiéndolos cuando resulte necesario**. La reposición forma parte de la obligación, así que un registro que solo anote la primera entrega no documenta el cumplimiento.</w:t>
      </w:r>
    </w:p>
    <w:tbl>
      <w:tblPr>
        <w:tblW w:type="dxa" w:w="9638"/>
        <w:tblBorders>
          <w:top w:val="none" w:color="auto" w:sz="0"/>
          <w:left w:val="none" w:color="auto" w:sz="0"/>
          <w:bottom w:val="none" w:color="auto" w:sz="0"/>
          <w:right w:val="none" w:color="auto" w:sz="0"/>
          <w:insideH w:val="none" w:color="auto" w:sz="0"/>
          <w:insideV w:val="none" w:color="auto" w:sz="0"/>
        </w:tblBorders>
      </w:tblPr>
      <w:tblGrid>
        <w:gridCol w:w="867"/>
        <w:gridCol w:w="1831"/>
        <w:gridCol w:w="1831"/>
        <w:gridCol w:w="771"/>
        <w:gridCol w:w="578"/>
        <w:gridCol w:w="1156"/>
        <w:gridCol w:w="1156"/>
        <w:gridCol w:w="1448"/>
      </w:tblGrid>
      <w:tr>
        <w:trPr>
          <w:tblHeader/>
        </w:trPr>
        <w:tc>
          <w:tcPr>
            <w:tcW w:type="dxa" w:w="867"/>
            <w:shd w:fill="014259" w:color="auto" w:val="clear"/>
            <w:tcMar>
              <w:top w:type="dxa" w:w="60"/>
              <w:left w:type="dxa" w:w="100"/>
              <w:bottom w:type="dxa" w:w="60"/>
              <w:right w:type="dxa" w:w="100"/>
            </w:tcMar>
          </w:tcPr>
          <w:p>
            <w:pPr>
              <w:pStyle w:val="SaCellHeader"/>
            </w:pPr>
            <w:r>
              <w:t xml:space="preserve">Fecha</w:t>
            </w:r>
          </w:p>
        </w:tc>
        <w:tc>
          <w:tcPr>
            <w:tcW w:type="dxa" w:w="1831"/>
            <w:shd w:fill="014259" w:color="auto" w:val="clear"/>
            <w:tcMar>
              <w:top w:type="dxa" w:w="60"/>
              <w:left w:type="dxa" w:w="100"/>
              <w:bottom w:type="dxa" w:w="60"/>
              <w:right w:type="dxa" w:w="100"/>
            </w:tcMar>
          </w:tcPr>
          <w:p>
            <w:pPr>
              <w:pStyle w:val="SaCellHeader"/>
            </w:pPr>
            <w:r>
              <w:t xml:space="preserve">Equipo</w:t>
            </w:r>
          </w:p>
        </w:tc>
        <w:tc>
          <w:tcPr>
            <w:tcW w:type="dxa" w:w="1831"/>
            <w:shd w:fill="014259" w:color="auto" w:val="clear"/>
            <w:tcMar>
              <w:top w:type="dxa" w:w="60"/>
              <w:left w:type="dxa" w:w="100"/>
              <w:bottom w:type="dxa" w:w="60"/>
              <w:right w:type="dxa" w:w="100"/>
            </w:tcMar>
          </w:tcPr>
          <w:p>
            <w:pPr>
              <w:pStyle w:val="SaCellHeader"/>
            </w:pPr>
            <w:r>
              <w:t xml:space="preserve">Marca, modelo, norma</w:t>
            </w:r>
          </w:p>
        </w:tc>
        <w:tc>
          <w:tcPr>
            <w:tcW w:type="dxa" w:w="771"/>
            <w:shd w:fill="014259" w:color="auto" w:val="clear"/>
            <w:tcMar>
              <w:top w:type="dxa" w:w="60"/>
              <w:left w:type="dxa" w:w="100"/>
              <w:bottom w:type="dxa" w:w="60"/>
              <w:right w:type="dxa" w:w="100"/>
            </w:tcMar>
          </w:tcPr>
          <w:p>
            <w:pPr>
              <w:pStyle w:val="SaCellHeader"/>
            </w:pPr>
            <w:r>
              <w:t xml:space="preserve">Talla</w:t>
            </w:r>
          </w:p>
        </w:tc>
        <w:tc>
          <w:tcPr>
            <w:tcW w:type="dxa" w:w="578"/>
            <w:shd w:fill="014259" w:color="auto" w:val="clear"/>
            <w:tcMar>
              <w:top w:type="dxa" w:w="60"/>
              <w:left w:type="dxa" w:w="100"/>
              <w:bottom w:type="dxa" w:w="60"/>
              <w:right w:type="dxa" w:w="100"/>
            </w:tcMar>
          </w:tcPr>
          <w:p>
            <w:pPr>
              <w:pStyle w:val="SaCellHeader"/>
            </w:pPr>
            <w:r>
              <w:t xml:space="preserve">Cant.</w:t>
            </w:r>
          </w:p>
        </w:tc>
        <w:tc>
          <w:tcPr>
            <w:tcW w:type="dxa" w:w="1156"/>
            <w:shd w:fill="014259" w:color="auto" w:val="clear"/>
            <w:tcMar>
              <w:top w:type="dxa" w:w="60"/>
              <w:left w:type="dxa" w:w="100"/>
              <w:bottom w:type="dxa" w:w="60"/>
              <w:right w:type="dxa" w:w="100"/>
            </w:tcMar>
          </w:tcPr>
          <w:p>
            <w:pPr>
              <w:pStyle w:val="SaCellHeader"/>
            </w:pPr>
            <w:r>
              <w:t xml:space="preserve">N.º de serie o lote</w:t>
            </w:r>
          </w:p>
        </w:tc>
        <w:tc>
          <w:tcPr>
            <w:tcW w:type="dxa" w:w="1156"/>
            <w:shd w:fill="014259" w:color="auto" w:val="clear"/>
            <w:tcMar>
              <w:top w:type="dxa" w:w="60"/>
              <w:left w:type="dxa" w:w="100"/>
              <w:bottom w:type="dxa" w:w="60"/>
              <w:right w:type="dxa" w:w="100"/>
            </w:tcMar>
          </w:tcPr>
          <w:p>
            <w:pPr>
              <w:pStyle w:val="SaCellHeader"/>
            </w:pPr>
            <w:r>
              <w:t xml:space="preserve">Vida útil o caducidad</w:t>
            </w:r>
          </w:p>
        </w:tc>
        <w:tc>
          <w:tcPr>
            <w:tcW w:type="dxa" w:w="1448"/>
            <w:shd w:fill="014259" w:color="auto" w:val="clear"/>
            <w:tcMar>
              <w:top w:type="dxa" w:w="60"/>
              <w:left w:type="dxa" w:w="100"/>
              <w:bottom w:type="dxa" w:w="60"/>
              <w:right w:type="dxa" w:w="100"/>
            </w:tcMar>
          </w:tcPr>
          <w:p>
            <w:pPr>
              <w:pStyle w:val="SaCellHeader"/>
            </w:pPr>
            <w:r>
              <w:t xml:space="preserve">Recibí</w:t>
            </w:r>
          </w:p>
        </w:tc>
      </w:tr>
      <w:tr>
        <w:trPr>
          <w:trHeight w:val="460" w:hRule="atLeast"/>
        </w:trPr>
        <w:tc>
          <w:tcPr>
            <w:tcW w:type="dxa" w:w="867"/>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831"/>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831"/>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771"/>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578"/>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156"/>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156"/>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448"/>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r>
      <w:tr>
        <w:trPr>
          <w:trHeight w:val="460" w:hRule="atLeast"/>
        </w:trPr>
        <w:tc>
          <w:tcPr>
            <w:tcW w:type="dxa" w:w="867"/>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831"/>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831"/>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771"/>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578"/>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156"/>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156"/>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448"/>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r>
      <w:tr>
        <w:trPr>
          <w:trHeight w:val="460" w:hRule="atLeast"/>
        </w:trPr>
        <w:tc>
          <w:tcPr>
            <w:tcW w:type="dxa" w:w="867"/>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831"/>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831"/>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771"/>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578"/>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156"/>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156"/>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448"/>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r>
      <w:tr>
        <w:trPr>
          <w:trHeight w:val="460" w:hRule="atLeast"/>
        </w:trPr>
        <w:tc>
          <w:tcPr>
            <w:tcW w:type="dxa" w:w="867"/>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831"/>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831"/>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771"/>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578"/>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156"/>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156"/>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448"/>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r>
      <w:tr>
        <w:trPr>
          <w:trHeight w:val="460" w:hRule="atLeast"/>
        </w:trPr>
        <w:tc>
          <w:tcPr>
            <w:tcW w:type="dxa" w:w="867"/>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831"/>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831"/>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771"/>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578"/>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156"/>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156"/>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448"/>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r>
      <w:tr>
        <w:trPr>
          <w:trHeight w:val="460" w:hRule="atLeast"/>
        </w:trPr>
        <w:tc>
          <w:tcPr>
            <w:tcW w:type="dxa" w:w="867"/>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831"/>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831"/>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771"/>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578"/>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156"/>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156"/>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448"/>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r>
      <w:tr>
        <w:trPr>
          <w:trHeight w:val="460" w:hRule="atLeast"/>
        </w:trPr>
        <w:tc>
          <w:tcPr>
            <w:tcW w:type="dxa" w:w="867"/>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831"/>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831"/>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771"/>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578"/>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156"/>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156"/>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448"/>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r>
      <w:tr>
        <w:trPr>
          <w:trHeight w:val="460" w:hRule="atLeast"/>
        </w:trPr>
        <w:tc>
          <w:tcPr>
            <w:tcW w:type="dxa" w:w="867"/>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831"/>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831"/>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771"/>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578"/>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156"/>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156"/>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448"/>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r>
      <w:tr>
        <w:trPr>
          <w:trHeight w:val="460" w:hRule="atLeast"/>
        </w:trPr>
        <w:tc>
          <w:tcPr>
            <w:tcW w:type="dxa" w:w="867"/>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831"/>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831"/>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771"/>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578"/>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156"/>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156"/>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448"/>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r>
      <w:tr>
        <w:trPr>
          <w:trHeight w:val="460" w:hRule="atLeast"/>
        </w:trPr>
        <w:tc>
          <w:tcPr>
            <w:tcW w:type="dxa" w:w="867"/>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831"/>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831"/>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771"/>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578"/>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156"/>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156"/>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448"/>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r>
      <w:tr>
        <w:trPr>
          <w:trHeight w:val="460" w:hRule="atLeast"/>
        </w:trPr>
        <w:tc>
          <w:tcPr>
            <w:tcW w:type="dxa" w:w="867"/>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831"/>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831"/>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771"/>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578"/>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156"/>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156"/>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448"/>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r>
      <w:tr>
        <w:trPr>
          <w:trHeight w:val="460" w:hRule="atLeast"/>
        </w:trPr>
        <w:tc>
          <w:tcPr>
            <w:tcW w:type="dxa" w:w="867"/>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831"/>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831"/>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771"/>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578"/>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156"/>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156"/>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448"/>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r>
      <w:tr>
        <w:trPr>
          <w:trHeight w:val="460" w:hRule="atLeast"/>
        </w:trPr>
        <w:tc>
          <w:tcPr>
            <w:tcW w:type="dxa" w:w="867"/>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831"/>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831"/>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771"/>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578"/>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156"/>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156"/>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448"/>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r>
      <w:tr>
        <w:trPr>
          <w:trHeight w:val="460" w:hRule="atLeast"/>
        </w:trPr>
        <w:tc>
          <w:tcPr>
            <w:tcW w:type="dxa" w:w="867"/>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831"/>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831"/>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771"/>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578"/>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156"/>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156"/>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448"/>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r>
    </w:tbl>
    <w:p>
      <w:pPr>
        <w:pStyle w:val="SaChrome"/>
      </w:pPr>
    </w:p>
    <w:p>
      <w:pPr>
        <w:pStyle w:val="SaH1"/>
      </w:pPr>
      <w:r>
        <w:t xml:space="preserve">4. Condiciones y tiempo de utilización</w:t>
      </w:r>
    </w:p>
    <w:p>
      <w:pPr>
        <w:pStyle w:val="SaBasis"/>
      </w:pPr>
      <w:r>
        <w:t xml:space="preserve">— exigido por la normativa</w:t>
      </w:r>
    </w:p>
    <w:p>
      <w:pPr>
        <w:pStyle w:val="SaBody"/>
      </w:pPr>
      <w:r>
        <w:rPr>
          <w:b w:val="false"/>
          <w:bCs w:val="false"/>
        </w:rPr>
        <w:t xml:space="preserve">El artículo 7.2 fija cinco factores que determinan las condiciones de uso y, en particular, el tiempo durante el cual el equipo haya de llevarse: la gravedad del riesgo, el tiempo o frecuencia de exposición, las condiciones del puesto, las prestaciones del propio equipo, y los riesgos adicionales derivados de su utilización que no hayan podido evitarse.</w:t>
      </w:r>
    </w:p>
    <w:p>
      <w:pPr>
        <w:pStyle w:val="SaBody"/>
      </w:pPr>
      <w:r>
        <w:rPr>
          <w:b/>
          <w:bCs/>
        </w:rPr>
        <w:t xml:space="preserve">El quinto factor es el que casi nunca se escribe, y es el que justifica los descansos: un traje impermeable contra salpicaduras químicas introduce estrés térmico, y ese riesgo añadido limita el tiempo de uso.</w:t>
      </w:r>
    </w:p>
    <w:tbl>
      <w:tblPr>
        <w:tblW w:type="dxa" w:w="9638"/>
        <w:tblBorders>
          <w:top w:val="none" w:color="auto" w:sz="0"/>
          <w:left w:val="none" w:color="auto" w:sz="0"/>
          <w:bottom w:val="none" w:color="auto" w:sz="0"/>
          <w:right w:val="none" w:color="auto" w:sz="0"/>
          <w:insideH w:val="none" w:color="auto" w:sz="0"/>
          <w:insideV w:val="none" w:color="auto" w:sz="0"/>
        </w:tblBorders>
      </w:tblPr>
      <w:tblGrid>
        <w:gridCol w:w="2190"/>
        <w:gridCol w:w="2409"/>
        <w:gridCol w:w="2190"/>
        <w:gridCol w:w="2849"/>
      </w:tblGrid>
      <w:tr>
        <w:trPr>
          <w:tblHeader/>
        </w:trPr>
        <w:tc>
          <w:tcPr>
            <w:tcW w:type="dxa" w:w="2190"/>
            <w:shd w:fill="014259" w:color="auto" w:val="clear"/>
            <w:tcMar>
              <w:top w:type="dxa" w:w="60"/>
              <w:left w:type="dxa" w:w="100"/>
              <w:bottom w:type="dxa" w:w="60"/>
              <w:right w:type="dxa" w:w="100"/>
            </w:tcMar>
          </w:tcPr>
          <w:p>
            <w:pPr>
              <w:pStyle w:val="SaCellHeader"/>
            </w:pPr>
            <w:r>
              <w:t xml:space="preserve">Equipo</w:t>
            </w:r>
          </w:p>
        </w:tc>
        <w:tc>
          <w:tcPr>
            <w:tcW w:type="dxa" w:w="2409"/>
            <w:shd w:fill="014259" w:color="auto" w:val="clear"/>
            <w:tcMar>
              <w:top w:type="dxa" w:w="60"/>
              <w:left w:type="dxa" w:w="100"/>
              <w:bottom w:type="dxa" w:w="60"/>
              <w:right w:type="dxa" w:w="100"/>
            </w:tcMar>
          </w:tcPr>
          <w:p>
            <w:pPr>
              <w:pStyle w:val="SaCellHeader"/>
            </w:pPr>
            <w:r>
              <w:t xml:space="preserve">Cuándo debe utilizarse</w:t>
            </w:r>
          </w:p>
        </w:tc>
        <w:tc>
          <w:tcPr>
            <w:tcW w:type="dxa" w:w="2190"/>
            <w:shd w:fill="014259" w:color="auto" w:val="clear"/>
            <w:tcMar>
              <w:top w:type="dxa" w:w="60"/>
              <w:left w:type="dxa" w:w="100"/>
              <w:bottom w:type="dxa" w:w="60"/>
              <w:right w:type="dxa" w:w="100"/>
            </w:tcMar>
          </w:tcPr>
          <w:p>
            <w:pPr>
              <w:pStyle w:val="SaCellHeader"/>
            </w:pPr>
            <w:r>
              <w:t xml:space="preserve">Tiempo máximo de uso continuado</w:t>
            </w:r>
          </w:p>
        </w:tc>
        <w:tc>
          <w:tcPr>
            <w:tcW w:type="dxa" w:w="2849"/>
            <w:shd w:fill="014259" w:color="auto" w:val="clear"/>
            <w:tcMar>
              <w:top w:type="dxa" w:w="60"/>
              <w:left w:type="dxa" w:w="100"/>
              <w:bottom w:type="dxa" w:w="60"/>
              <w:right w:type="dxa" w:w="100"/>
            </w:tcMar>
          </w:tcPr>
          <w:p>
            <w:pPr>
              <w:pStyle w:val="SaCellHeader"/>
            </w:pPr>
            <w:r>
              <w:t xml:space="preserve">Riesgos añadidos del propio equipo</w:t>
            </w:r>
          </w:p>
        </w:tc>
      </w:tr>
      <w:tr>
        <w:trPr>
          <w:trHeight w:val="460" w:hRule="atLeast"/>
        </w:trPr>
        <w:tc>
          <w:tcPr>
            <w:tcW w:type="dxa" w:w="2190"/>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2409"/>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2190"/>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2849"/>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r>
      <w:tr>
        <w:trPr>
          <w:trHeight w:val="460" w:hRule="atLeast"/>
        </w:trPr>
        <w:tc>
          <w:tcPr>
            <w:tcW w:type="dxa" w:w="2190"/>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2409"/>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2190"/>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2849"/>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r>
      <w:tr>
        <w:trPr>
          <w:trHeight w:val="460" w:hRule="atLeast"/>
        </w:trPr>
        <w:tc>
          <w:tcPr>
            <w:tcW w:type="dxa" w:w="2190"/>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2409"/>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2190"/>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2849"/>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r>
      <w:tr>
        <w:trPr>
          <w:trHeight w:val="460" w:hRule="atLeast"/>
        </w:trPr>
        <w:tc>
          <w:tcPr>
            <w:tcW w:type="dxa" w:w="2190"/>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2409"/>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2190"/>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2849"/>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r>
      <w:tr>
        <w:trPr>
          <w:trHeight w:val="460" w:hRule="atLeast"/>
        </w:trPr>
        <w:tc>
          <w:tcPr>
            <w:tcW w:type="dxa" w:w="2190"/>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2409"/>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2190"/>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2849"/>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r>
      <w:tr>
        <w:trPr>
          <w:trHeight w:val="460" w:hRule="atLeast"/>
        </w:trPr>
        <w:tc>
          <w:tcPr>
            <w:tcW w:type="dxa" w:w="2190"/>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2409"/>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2190"/>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2849"/>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r>
      <w:tr>
        <w:trPr>
          <w:trHeight w:val="460" w:hRule="atLeast"/>
        </w:trPr>
        <w:tc>
          <w:tcPr>
            <w:tcW w:type="dxa" w:w="2190"/>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2409"/>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2190"/>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2849"/>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r>
    </w:tbl>
    <w:p>
      <w:pPr>
        <w:pStyle w:val="SaNote"/>
      </w:pPr>
      <w:r>
        <w:t xml:space="preserve">Artículo 7.3: los EPI están destinados, en principio, a un uso personal. Si las circunstancias exigen que lo use más de una persona, se adoptan las medidas necesarias para que no origine problemas de salud o de higiene.</w:t>
      </w:r>
    </w:p>
    <w:p>
      <w:pPr>
        <w:pStyle w:val="SaH1"/>
      </w:pPr>
      <w:r>
        <w:t xml:space="preserve">5. Información y formación</w:t>
      </w:r>
    </w:p>
    <w:p>
      <w:pPr>
        <w:pStyle w:val="SaBasis"/>
      </w:pPr>
      <w:r>
        <w:t xml:space="preserve">— exigido por la normativa</w:t>
      </w:r>
    </w:p>
    <w:p>
      <w:pPr>
        <w:pStyle w:val="SaBody"/>
      </w:pPr>
      <w:r>
        <w:rPr>
          <w:b w:val="false"/>
          <w:bCs w:val="false"/>
        </w:rPr>
        <w:t xml:space="preserve">El artículo 8.2 contiene la frase que conviene tener presente: el empresario informará al trabajador, **previamente al uso**, de los riesgos contra los que le protegen y de las actividades u ocasiones en las que deben utilizarse, y le proporcionará instrucciones «preferentemente por escrito» sobre la forma correcta de utilizarlos y mantenerlos. El manual del fabricante debe estar a disposición de los trabajadores, y la información debe ser comprensible.</w:t>
      </w:r>
    </w:p>
    <w:p>
      <w:pPr>
        <w:pStyle w:val="SaBody"/>
      </w:pPr>
      <w:r>
        <w:rPr>
          <w:b/>
          <w:bCs/>
        </w:rPr>
        <w:t xml:space="preserve">«Preferentemente por escrito» es una preferencia de la norma, no una exigencia — y es exactamente la razón por la que esta ficha existe: convierte la preferencia en el camino más fácil.</w:t>
      </w:r>
    </w:p>
    <w:tbl>
      <w:tblPr>
        <w:tblW w:type="dxa" w:w="9638"/>
        <w:tblBorders>
          <w:top w:val="none" w:color="auto" w:sz="0"/>
          <w:left w:val="none" w:color="auto" w:sz="0"/>
          <w:bottom w:val="none" w:color="auto" w:sz="0"/>
          <w:right w:val="none" w:color="auto" w:sz="0"/>
          <w:insideH w:val="none" w:color="auto" w:sz="0"/>
          <w:insideV w:val="none" w:color="auto" w:sz="0"/>
        </w:tblBorders>
      </w:tblPr>
      <w:tblGrid>
        <w:gridCol w:w="1927"/>
        <w:gridCol w:w="1734"/>
        <w:gridCol w:w="1927"/>
        <w:gridCol w:w="1734"/>
        <w:gridCol w:w="963"/>
        <w:gridCol w:w="1353"/>
      </w:tblGrid>
      <w:tr>
        <w:trPr>
          <w:tblHeader/>
        </w:trPr>
        <w:tc>
          <w:tcPr>
            <w:tcW w:type="dxa" w:w="1927"/>
            <w:shd w:fill="014259" w:color="auto" w:val="clear"/>
            <w:tcMar>
              <w:top w:type="dxa" w:w="60"/>
              <w:left w:type="dxa" w:w="100"/>
              <w:bottom w:type="dxa" w:w="60"/>
              <w:right w:type="dxa" w:w="100"/>
            </w:tcMar>
          </w:tcPr>
          <w:p>
            <w:pPr>
              <w:pStyle w:val="SaCellHeader"/>
            </w:pPr>
            <w:r>
              <w:t xml:space="preserve">Equipo</w:t>
            </w:r>
          </w:p>
        </w:tc>
        <w:tc>
          <w:tcPr>
            <w:tcW w:type="dxa" w:w="1734"/>
            <w:shd w:fill="014259" w:color="auto" w:val="clear"/>
            <w:tcMar>
              <w:top w:type="dxa" w:w="60"/>
              <w:left w:type="dxa" w:w="100"/>
              <w:bottom w:type="dxa" w:w="60"/>
              <w:right w:type="dxa" w:w="100"/>
            </w:tcMar>
          </w:tcPr>
          <w:p>
            <w:pPr>
              <w:pStyle w:val="SaCellHeader"/>
            </w:pPr>
            <w:r>
              <w:t xml:space="preserve">Información previa al uso</w:t>
            </w:r>
          </w:p>
        </w:tc>
        <w:tc>
          <w:tcPr>
            <w:tcW w:type="dxa" w:w="1927"/>
            <w:shd w:fill="014259" w:color="auto" w:val="clear"/>
            <w:tcMar>
              <w:top w:type="dxa" w:w="60"/>
              <w:left w:type="dxa" w:w="100"/>
              <w:bottom w:type="dxa" w:w="60"/>
              <w:right w:type="dxa" w:w="100"/>
            </w:tcMar>
          </w:tcPr>
          <w:p>
            <w:pPr>
              <w:pStyle w:val="SaCellHeader"/>
            </w:pPr>
            <w:r>
              <w:t xml:space="preserve">Instrucciones por escrito entregadas</w:t>
            </w:r>
          </w:p>
        </w:tc>
        <w:tc>
          <w:tcPr>
            <w:tcW w:type="dxa" w:w="1734"/>
            <w:shd w:fill="014259" w:color="auto" w:val="clear"/>
            <w:tcMar>
              <w:top w:type="dxa" w:w="60"/>
              <w:left w:type="dxa" w:w="100"/>
              <w:bottom w:type="dxa" w:w="60"/>
              <w:right w:type="dxa" w:w="100"/>
            </w:tcMar>
          </w:tcPr>
          <w:p>
            <w:pPr>
              <w:pStyle w:val="SaCellHeader"/>
            </w:pPr>
            <w:r>
              <w:t xml:space="preserve">Sesión de entrenamiento</w:t>
            </w:r>
          </w:p>
        </w:tc>
        <w:tc>
          <w:tcPr>
            <w:tcW w:type="dxa" w:w="963"/>
            <w:shd w:fill="014259" w:color="auto" w:val="clear"/>
            <w:tcMar>
              <w:top w:type="dxa" w:w="60"/>
              <w:left w:type="dxa" w:w="100"/>
              <w:bottom w:type="dxa" w:w="60"/>
              <w:right w:type="dxa" w:w="100"/>
            </w:tcMar>
          </w:tcPr>
          <w:p>
            <w:pPr>
              <w:pStyle w:val="SaCellHeader"/>
            </w:pPr>
            <w:r>
              <w:t xml:space="preserve">Fecha</w:t>
            </w:r>
          </w:p>
        </w:tc>
        <w:tc>
          <w:tcPr>
            <w:tcW w:type="dxa" w:w="1353"/>
            <w:shd w:fill="014259" w:color="auto" w:val="clear"/>
            <w:tcMar>
              <w:top w:type="dxa" w:w="60"/>
              <w:left w:type="dxa" w:w="100"/>
              <w:bottom w:type="dxa" w:w="60"/>
              <w:right w:type="dxa" w:w="100"/>
            </w:tcMar>
          </w:tcPr>
          <w:p>
            <w:pPr>
              <w:pStyle w:val="SaCellHeader"/>
            </w:pPr>
            <w:r>
              <w:t xml:space="preserve">Impartida por</w:t>
            </w:r>
          </w:p>
        </w:tc>
      </w:tr>
      <w:tr>
        <w:trPr>
          <w:trHeight w:val="460" w:hRule="atLeast"/>
        </w:trPr>
        <w:tc>
          <w:tcPr>
            <w:tcW w:type="dxa" w:w="1927"/>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734"/>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927"/>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734"/>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963"/>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353"/>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r>
      <w:tr>
        <w:trPr>
          <w:trHeight w:val="460" w:hRule="atLeast"/>
        </w:trPr>
        <w:tc>
          <w:tcPr>
            <w:tcW w:type="dxa" w:w="1927"/>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734"/>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927"/>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734"/>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963"/>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353"/>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r>
      <w:tr>
        <w:trPr>
          <w:trHeight w:val="460" w:hRule="atLeast"/>
        </w:trPr>
        <w:tc>
          <w:tcPr>
            <w:tcW w:type="dxa" w:w="1927"/>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734"/>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927"/>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734"/>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963"/>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353"/>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r>
      <w:tr>
        <w:trPr>
          <w:trHeight w:val="460" w:hRule="atLeast"/>
        </w:trPr>
        <w:tc>
          <w:tcPr>
            <w:tcW w:type="dxa" w:w="1927"/>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734"/>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927"/>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734"/>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963"/>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353"/>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r>
      <w:tr>
        <w:trPr>
          <w:trHeight w:val="460" w:hRule="atLeast"/>
        </w:trPr>
        <w:tc>
          <w:tcPr>
            <w:tcW w:type="dxa" w:w="1927"/>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734"/>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927"/>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734"/>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963"/>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353"/>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r>
      <w:tr>
        <w:trPr>
          <w:trHeight w:val="460" w:hRule="atLeast"/>
        </w:trPr>
        <w:tc>
          <w:tcPr>
            <w:tcW w:type="dxa" w:w="1927"/>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734"/>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927"/>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734"/>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963"/>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353"/>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r>
      <w:tr>
        <w:trPr>
          <w:trHeight w:val="460" w:hRule="atLeast"/>
        </w:trPr>
        <w:tc>
          <w:tcPr>
            <w:tcW w:type="dxa" w:w="1927"/>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734"/>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927"/>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734"/>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963"/>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353"/>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r>
      <w:tr>
        <w:trPr>
          <w:trHeight w:val="460" w:hRule="atLeast"/>
        </w:trPr>
        <w:tc>
          <w:tcPr>
            <w:tcW w:type="dxa" w:w="1927"/>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734"/>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927"/>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734"/>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963"/>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353"/>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r>
    </w:tbl>
    <w:p>
      <w:pPr>
        <w:pStyle w:val="SaNote"/>
      </w:pPr>
      <w:r>
        <w:t xml:space="preserve">El artículo 8.3 pide organizar sesiones de entrenamiento «especialmente cuando se requiera la utilización simultánea de varios equipos de protección individual que por su especial complejidad así lo haga necesario». Casco con pantalla y protección auditiva, o arnés con línea de vida, son los casos típicos.</w:t>
      </w:r>
    </w:p>
    <w:p>
      <w:pPr>
        <w:pStyle w:val="SaH1"/>
      </w:pPr>
      <w:r>
        <w:t xml:space="preserve">6. Mantenimiento, sustitución y devolución</w:t>
      </w:r>
    </w:p>
    <w:p>
      <w:pPr>
        <w:pStyle w:val="SaBasis"/>
      </w:pPr>
      <w:r>
        <w:t xml:space="preserve">— exigido por la normativa</w:t>
      </w:r>
    </w:p>
    <w:p>
      <w:pPr>
        <w:pStyle w:val="SaBody"/>
      </w:pPr>
      <w:r>
        <w:rPr>
          <w:b w:val="false"/>
          <w:bCs w:val="false"/>
        </w:rPr>
        <w:t xml:space="preserve">El artículo 7.1 remite la utilización, el almacenamiento, el mantenimiento, la limpieza, la desinfección cuando proceda y la reparación a **las instrucciones del fabricante** — no a un criterio de la empresa. Y el artículo 10 pone tres deberes al trabajador: utilizar y cuidar correctamente el equipo, colocarlo después de su uso en el lugar indicado, e informar de inmediato a su superior de cualquier defecto, anomalía o daño que pueda suponer pérdida de eficacia protectora.</w:t>
      </w:r>
    </w:p>
    <w:tbl>
      <w:tblPr>
        <w:tblW w:type="dxa" w:w="9638"/>
        <w:tblBorders>
          <w:top w:val="none" w:color="auto" w:sz="0"/>
          <w:left w:val="none" w:color="auto" w:sz="0"/>
          <w:bottom w:val="none" w:color="auto" w:sz="0"/>
          <w:right w:val="none" w:color="auto" w:sz="0"/>
          <w:insideH w:val="none" w:color="auto" w:sz="0"/>
          <w:insideV w:val="none" w:color="auto" w:sz="0"/>
        </w:tblBorders>
      </w:tblPr>
      <w:tblGrid>
        <w:gridCol w:w="963"/>
        <w:gridCol w:w="1734"/>
        <w:gridCol w:w="2891"/>
        <w:gridCol w:w="1927"/>
        <w:gridCol w:w="2123"/>
      </w:tblGrid>
      <w:tr>
        <w:trPr>
          <w:tblHeader/>
        </w:trPr>
        <w:tc>
          <w:tcPr>
            <w:tcW w:type="dxa" w:w="963"/>
            <w:shd w:fill="014259" w:color="auto" w:val="clear"/>
            <w:tcMar>
              <w:top w:type="dxa" w:w="60"/>
              <w:left w:type="dxa" w:w="100"/>
              <w:bottom w:type="dxa" w:w="60"/>
              <w:right w:type="dxa" w:w="100"/>
            </w:tcMar>
          </w:tcPr>
          <w:p>
            <w:pPr>
              <w:pStyle w:val="SaCellHeader"/>
            </w:pPr>
            <w:r>
              <w:t xml:space="preserve">Fecha</w:t>
            </w:r>
          </w:p>
        </w:tc>
        <w:tc>
          <w:tcPr>
            <w:tcW w:type="dxa" w:w="1734"/>
            <w:shd w:fill="014259" w:color="auto" w:val="clear"/>
            <w:tcMar>
              <w:top w:type="dxa" w:w="60"/>
              <w:left w:type="dxa" w:w="100"/>
              <w:bottom w:type="dxa" w:w="60"/>
              <w:right w:type="dxa" w:w="100"/>
            </w:tcMar>
          </w:tcPr>
          <w:p>
            <w:pPr>
              <w:pStyle w:val="SaCellHeader"/>
            </w:pPr>
            <w:r>
              <w:t xml:space="preserve">Equipo</w:t>
            </w:r>
          </w:p>
        </w:tc>
        <w:tc>
          <w:tcPr>
            <w:tcW w:type="dxa" w:w="2891"/>
            <w:shd w:fill="014259" w:color="auto" w:val="clear"/>
            <w:tcMar>
              <w:top w:type="dxa" w:w="60"/>
              <w:left w:type="dxa" w:w="100"/>
              <w:bottom w:type="dxa" w:w="60"/>
              <w:right w:type="dxa" w:w="100"/>
            </w:tcMar>
          </w:tcPr>
          <w:p>
            <w:pPr>
              <w:pStyle w:val="SaCellHeader"/>
            </w:pPr>
            <w:r>
              <w:t xml:space="preserve">Motivo: desgaste · defecto · pérdida · caducidad · cambio de puesto · baja</w:t>
            </w:r>
          </w:p>
        </w:tc>
        <w:tc>
          <w:tcPr>
            <w:tcW w:type="dxa" w:w="1927"/>
            <w:shd w:fill="014259" w:color="auto" w:val="clear"/>
            <w:tcMar>
              <w:top w:type="dxa" w:w="60"/>
              <w:left w:type="dxa" w:w="100"/>
              <w:bottom w:type="dxa" w:w="60"/>
              <w:right w:type="dxa" w:w="100"/>
            </w:tcMar>
          </w:tcPr>
          <w:p>
            <w:pPr>
              <w:pStyle w:val="SaCellHeader"/>
            </w:pPr>
            <w:r>
              <w:t xml:space="preserve">Sustituido por</w:t>
            </w:r>
          </w:p>
        </w:tc>
        <w:tc>
          <w:tcPr>
            <w:tcW w:type="dxa" w:w="2123"/>
            <w:shd w:fill="014259" w:color="auto" w:val="clear"/>
            <w:tcMar>
              <w:top w:type="dxa" w:w="60"/>
              <w:left w:type="dxa" w:w="100"/>
              <w:bottom w:type="dxa" w:w="60"/>
              <w:right w:type="dxa" w:w="100"/>
            </w:tcMar>
          </w:tcPr>
          <w:p>
            <w:pPr>
              <w:pStyle w:val="SaCellHeader"/>
            </w:pPr>
            <w:r>
              <w:t xml:space="preserve">Recibí</w:t>
            </w:r>
          </w:p>
        </w:tc>
      </w:tr>
      <w:tr>
        <w:trPr>
          <w:trHeight w:val="460" w:hRule="atLeast"/>
        </w:trPr>
        <w:tc>
          <w:tcPr>
            <w:tcW w:type="dxa" w:w="963"/>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734"/>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2891"/>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927"/>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2123"/>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r>
      <w:tr>
        <w:trPr>
          <w:trHeight w:val="460" w:hRule="atLeast"/>
        </w:trPr>
        <w:tc>
          <w:tcPr>
            <w:tcW w:type="dxa" w:w="963"/>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734"/>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2891"/>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927"/>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2123"/>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r>
      <w:tr>
        <w:trPr>
          <w:trHeight w:val="460" w:hRule="atLeast"/>
        </w:trPr>
        <w:tc>
          <w:tcPr>
            <w:tcW w:type="dxa" w:w="963"/>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734"/>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2891"/>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927"/>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2123"/>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r>
      <w:tr>
        <w:trPr>
          <w:trHeight w:val="460" w:hRule="atLeast"/>
        </w:trPr>
        <w:tc>
          <w:tcPr>
            <w:tcW w:type="dxa" w:w="963"/>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734"/>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2891"/>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927"/>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2123"/>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r>
      <w:tr>
        <w:trPr>
          <w:trHeight w:val="460" w:hRule="atLeast"/>
        </w:trPr>
        <w:tc>
          <w:tcPr>
            <w:tcW w:type="dxa" w:w="963"/>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734"/>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2891"/>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927"/>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2123"/>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r>
      <w:tr>
        <w:trPr>
          <w:trHeight w:val="460" w:hRule="atLeast"/>
        </w:trPr>
        <w:tc>
          <w:tcPr>
            <w:tcW w:type="dxa" w:w="963"/>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734"/>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2891"/>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927"/>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2123"/>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r>
      <w:tr>
        <w:trPr>
          <w:trHeight w:val="460" w:hRule="atLeast"/>
        </w:trPr>
        <w:tc>
          <w:tcPr>
            <w:tcW w:type="dxa" w:w="963"/>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734"/>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2891"/>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927"/>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2123"/>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r>
      <w:tr>
        <w:trPr>
          <w:trHeight w:val="460" w:hRule="atLeast"/>
        </w:trPr>
        <w:tc>
          <w:tcPr>
            <w:tcW w:type="dxa" w:w="963"/>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734"/>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2891"/>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927"/>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2123"/>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r>
    </w:tbl>
    <w:p>
      <w:pPr>
        <w:pStyle w:val="SaChrome"/>
      </w:pPr>
    </w:p>
    <w:p>
      <w:pPr>
        <w:pStyle w:val="SaH1"/>
      </w:pPr>
      <w:r>
        <w:t xml:space="preserve">7. Consulta a los trabajadores</w:t>
      </w:r>
    </w:p>
    <w:p>
      <w:pPr>
        <w:pStyle w:val="SaBasis"/>
      </w:pPr>
      <w:r>
        <w:t xml:space="preserve">— exigido por la normativa</w:t>
      </w:r>
    </w:p>
    <w:p>
      <w:pPr>
        <w:pStyle w:val="SaBody"/>
      </w:pPr>
      <w:r>
        <w:rPr>
          <w:b w:val="false"/>
          <w:bCs w:val="false"/>
        </w:rPr>
        <w:t xml:space="preserve">El artículo 9 del RD 773/1997 remite la consulta y participación sobre estas cuestiones al artículo 18.2 de la LPRL. En la práctica: el listado de EPI por puesto y las condiciones de uso se consultan, no se comunican.</w:t>
      </w:r>
    </w:p>
    <w:tbl>
      <w:tblPr>
        <w:tblW w:type="dxa" w:w="9638"/>
        <w:tblBorders>
          <w:top w:val="none" w:color="auto" w:sz="0"/>
          <w:left w:val="none" w:color="auto" w:sz="0"/>
          <w:bottom w:val="none" w:color="auto" w:sz="0"/>
          <w:right w:val="none" w:color="auto" w:sz="0"/>
          <w:insideH w:val="none" w:color="auto" w:sz="0"/>
          <w:insideV w:val="none" w:color="auto" w:sz="0"/>
        </w:tblBorders>
      </w:tblPr>
      <w:tblGrid>
        <w:gridCol w:w="2505"/>
        <w:gridCol w:w="2313"/>
        <w:gridCol w:w="2505"/>
        <w:gridCol w:w="2315"/>
      </w:tblGrid>
      <w:tr>
        <w:tc>
          <w:tcPr>
            <w:tcW w:type="dxa" w:w="2505"/>
            <w:tcBorders>
              <w:top w:val="none" w:color="auto" w:sz="0"/>
              <w:left w:val="none" w:color="auto" w:sz="0"/>
              <w:bottom w:val="none" w:color="auto" w:sz="0"/>
              <w:right w:val="none" w:color="auto" w:sz="0"/>
            </w:tcBorders>
            <w:tcMar>
              <w:top w:type="dxa" w:w="80"/>
              <w:left w:type="dxa" w:w="0"/>
              <w:bottom w:type="dxa" w:w="80"/>
              <w:right w:type="dxa" w:w="120"/>
            </w:tcMar>
            <w:vAlign w:val="center"/>
          </w:tcPr>
          <w:p>
            <w:pPr>
              <w:pStyle w:val="SaCell"/>
            </w:pPr>
            <w:r>
              <w:rPr>
                <w:b/>
                <w:bCs/>
              </w:rPr>
              <w:t xml:space="preserve">Fecha de la consulta</w:t>
            </w:r>
          </w:p>
        </w:tc>
        <w:tc>
          <w:tcPr>
            <w:tcW w:type="dxa" w:w="2313"/>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2505"/>
            <w:tcBorders>
              <w:top w:val="none" w:color="auto" w:sz="0"/>
              <w:left w:val="none" w:color="auto" w:sz="0"/>
              <w:bottom w:val="none" w:color="auto" w:sz="0"/>
              <w:right w:val="none" w:color="auto" w:sz="0"/>
            </w:tcBorders>
            <w:tcMar>
              <w:top w:type="dxa" w:w="80"/>
              <w:left w:type="dxa" w:w="0"/>
              <w:bottom w:type="dxa" w:w="80"/>
              <w:right w:type="dxa" w:w="120"/>
            </w:tcMar>
            <w:vAlign w:val="center"/>
          </w:tcPr>
          <w:p>
            <w:pPr>
              <w:pStyle w:val="SaCell"/>
            </w:pPr>
            <w:r>
              <w:rPr>
                <w:b/>
                <w:bCs/>
              </w:rPr>
              <w:t xml:space="preserve">Con quién</w:t>
            </w:r>
          </w:p>
        </w:tc>
        <w:tc>
          <w:tcPr>
            <w:tcW w:type="dxa" w:w="2315"/>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Hint"/>
            </w:pPr>
            <w:r>
              <w:t xml:space="preserve">[Delegados de Prevención · Comité]</w:t>
            </w:r>
          </w:p>
        </w:tc>
      </w:tr>
      <w:tr>
        <w:tc>
          <w:tcPr>
            <w:tcW w:type="dxa" w:w="2505"/>
            <w:tcBorders>
              <w:top w:val="none" w:color="auto" w:sz="0"/>
              <w:left w:val="none" w:color="auto" w:sz="0"/>
              <w:bottom w:val="none" w:color="auto" w:sz="0"/>
              <w:right w:val="none" w:color="auto" w:sz="0"/>
            </w:tcBorders>
            <w:tcMar>
              <w:top w:type="dxa" w:w="80"/>
              <w:left w:type="dxa" w:w="0"/>
              <w:bottom w:type="dxa" w:w="80"/>
              <w:right w:type="dxa" w:w="120"/>
            </w:tcMar>
            <w:vAlign w:val="center"/>
          </w:tcPr>
          <w:p>
            <w:pPr>
              <w:pStyle w:val="SaCell"/>
            </w:pPr>
            <w:r>
              <w:rPr>
                <w:b/>
                <w:bCs/>
              </w:rPr>
              <w:t xml:space="preserve">Observaciones recogidas</w:t>
            </w:r>
          </w:p>
        </w:tc>
        <w:tc>
          <w:tcPr>
            <w:tcW w:type="dxa" w:w="7133"/>
            <w:gridSpan w:val="3"/>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Hint"/>
            </w:pPr>
            <w:r>
              <w:t xml:space="preserve">[y qué se hizo con ellas]</w:t>
            </w:r>
          </w:p>
        </w:tc>
      </w:tr>
    </w:tbl>
    <w:p>
      <w:pPr>
        <w:pStyle w:val="SaChrome"/>
      </w:pPr>
    </w:p>
    <w:p>
      <w:pPr>
        <w:pStyle w:val="SaH1"/>
      </w:pPr>
      <w:r>
        <w:t xml:space="preserve">8. Firmas</w:t>
      </w:r>
    </w:p>
    <w:p>
      <w:pPr>
        <w:pStyle w:val="SaBasis"/>
      </w:pPr>
      <w:r>
        <w:t xml:space="preserve">— práctica del sector, nada lo exige</w:t>
      </w:r>
    </w:p>
    <w:p>
      <w:pPr>
        <w:pStyle w:val="SaBody"/>
      </w:pPr>
      <w:r>
        <w:rPr>
          <w:b w:val="false"/>
          <w:bCs w:val="false"/>
        </w:rPr>
        <w:t xml:space="preserve">La firma acredita la entrega, la información y la formación. No es una asunción del riesgo ni un descargo: es la precisión que falta en muchas fichas y la que decide qué prueba el documento.</w:t>
      </w:r>
    </w:p>
    <w:tbl>
      <w:tblPr>
        <w:tblW w:type="dxa" w:w="9638"/>
        <w:tblBorders>
          <w:top w:val="none" w:color="auto" w:sz="0"/>
          <w:left w:val="none" w:color="auto" w:sz="0"/>
          <w:bottom w:val="none" w:color="auto" w:sz="0"/>
          <w:right w:val="none" w:color="auto" w:sz="0"/>
          <w:insideH w:val="none" w:color="auto" w:sz="0"/>
          <w:insideV w:val="none" w:color="auto" w:sz="0"/>
        </w:tblBorders>
      </w:tblPr>
      <w:tblGrid>
        <w:gridCol w:w="4819"/>
        <w:gridCol w:w="4819"/>
      </w:tblGrid>
      <w:tr>
        <w:tc>
          <w:tcPr>
            <w:tcW w:type="dxa" w:w="4819"/>
            <w:tcBorders>
              <w:top w:val="none" w:color="auto" w:sz="0"/>
              <w:left w:val="none" w:color="auto" w:sz="0"/>
              <w:bottom w:val="none" w:color="auto" w:sz="0"/>
              <w:right w:val="none" w:color="auto" w:sz="0"/>
            </w:tcBorders>
            <w:tcMar>
              <w:top w:type="dxa" w:w="80"/>
              <w:left w:type="dxa" w:w="0"/>
              <w:bottom w:type="dxa" w:w="40"/>
              <w:right w:type="dxa" w:w="160"/>
            </w:tcMar>
          </w:tcPr>
          <w:p>
            <w:pPr>
              <w:pStyle w:val="SaCell"/>
            </w:pPr>
            <w:r>
              <w:rPr>
                <w:b/>
                <w:bCs/>
              </w:rPr>
              <w:t xml:space="preserve">El trabajador</w:t>
            </w:r>
          </w:p>
          <w:p>
            <w:pPr>
              <w:pStyle w:val="SaHint"/>
            </w:pPr>
            <w:r>
              <w:t xml:space="preserve">Recibí los equipos, las instrucciones y la formación</w:t>
            </w:r>
          </w:p>
        </w:tc>
        <w:tc>
          <w:tcPr>
            <w:tcW w:type="dxa" w:w="4819"/>
            <w:tcBorders>
              <w:top w:val="none" w:color="auto" w:sz="0"/>
              <w:left w:val="none" w:color="auto" w:sz="0"/>
              <w:bottom w:val="none" w:color="auto" w:sz="0"/>
              <w:right w:val="none" w:color="auto" w:sz="0"/>
            </w:tcBorders>
            <w:tcMar>
              <w:top w:type="dxa" w:w="80"/>
              <w:left w:type="dxa" w:w="0"/>
              <w:bottom w:type="dxa" w:w="40"/>
              <w:right w:type="dxa" w:w="160"/>
            </w:tcMar>
          </w:tcPr>
          <w:p>
            <w:pPr>
              <w:pStyle w:val="SaCell"/>
            </w:pPr>
            <w:r>
              <w:rPr>
                <w:b/>
                <w:bCs/>
              </w:rPr>
              <w:t xml:space="preserve">Responsable de la entrega</w:t>
            </w:r>
          </w:p>
          <w:p>
            <w:pPr>
              <w:pStyle w:val="SaHint"/>
            </w:pPr>
            <w:r>
              <w:t xml:space="preserve">Nombre, cargo, fecha</w:t>
            </w:r>
          </w:p>
        </w:tc>
      </w:tr>
      <w:tr>
        <w:trPr>
          <w:trHeight w:val="1100" w:hRule="atLeast"/>
        </w:trPr>
        <w:tc>
          <w:tcPr>
            <w:tcW w:type="dxa" w:w="4819"/>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4819"/>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r>
    </w:tbl>
    <w:p>
      <w:pPr>
        <w:pStyle w:val="SaChrome"/>
      </w:pPr>
    </w:p>
    <w:p>
      <w:pPr>
        <w:pStyle w:val="SaH2"/>
      </w:pPr>
      <w:r>
        <w:t xml:space="preserve">Fuentes</w:t>
      </w:r>
    </w:p>
    <w:p>
      <w:pPr>
        <w:pStyle w:val="ListParagraph"/>
        <w:pStyle w:val="SaNote"/>
        <w:numPr>
          <w:ilvl w:val="0"/>
          <w:numId w:val="1"/>
        </w:numPr>
      </w:pPr>
      <w:r>
        <w:t xml:space="preserve">RD 773/1997 — utilización por los trabajadores de EPI, arts. 3 a 10 — </w:t>
      </w:r>
      <w:hyperlink w:history="1" r:id="rIdugchjpcpjjb64ofrx4i-0">
        <w:r>
          <w:rPr>
            <w:color w:val="005674"/>
            <w:u w:val="single"/>
          </w:rPr>
          <w:t xml:space="preserve">https://www.boe.es/buscar/act.php?id=BOE-A-1997-12735</w:t>
        </w:r>
      </w:hyperlink>
    </w:p>
    <w:p>
      <w:pPr>
        <w:pStyle w:val="ListParagraph"/>
        <w:pStyle w:val="SaNote"/>
        <w:numPr>
          <w:ilvl w:val="0"/>
          <w:numId w:val="1"/>
        </w:numPr>
      </w:pPr>
      <w:r>
        <w:t xml:space="preserve">Ley 31/1995 (LPRL), art. 17 — equipos de trabajo y medios de protección — </w:t>
      </w:r>
      <w:hyperlink w:history="1" r:id="rIdqekna5ayf5xr8h89_usdt">
        <w:r>
          <w:rPr>
            <w:color w:val="005674"/>
            <w:u w:val="single"/>
          </w:rPr>
          <w:t xml:space="preserve">https://www.boe.es/buscar/act.php?id=BOE-A-1995-24292</w:t>
        </w:r>
      </w:hyperlink>
    </w:p>
    <w:p>
      <w:pPr>
        <w:pStyle w:val="SaNote"/>
      </w:pPr>
      <w:r>
        <w:rPr>
          <w:b w:val="false"/>
          <w:bCs w:val="false"/>
        </w:rPr>
        <w:t xml:space="preserve">Contenido revisado el 2026-09-08 · La página de esta plantilla — https://safeally.net/es-es/plantillas/ficha-de-entrega-de-epi/</w:t>
      </w:r>
    </w:p>
    <w:p>
      <w:pPr>
        <w:pStyle w:val="SaNote"/>
      </w:pPr>
      <w:r>
        <w:rPr>
          <w:b w:val="false"/>
          <w:bCs w:val="false"/>
        </w:rPr>
        <w:t xml:space="preserve">SafeAlly — safeally.net · gratuito, sin cuenta, documento editable</w:t>
      </w:r>
    </w:p>
    <w:sectPr>
      <w:headerReference w:type="default" r:id="rId7"/>
      <w:footerReference w:type="default" r:id="rId8"/>
      <w:pgSz w:w="11906" w:h="16838" w:orient="portrait"/>
      <w:pgMar w:top="1134" w:right="1134" w:bottom="1134" w:left="1134" w:header="680" w:footer="68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SaChrome"/>
      <w:pBdr>
        <w:top w:val="single" w:color="BDE1F3" w:sz="4"/>
      </w:pBdr>
      <w:tabs>
        <w:tab w:val="right" w:pos="9638"/>
      </w:tabs>
    </w:pPr>
    <w:r>
      <w:t xml:space="preserve">Contenido revisado el 2026-09-08 · safeally.net</w:t>
    </w:r>
    <w:r>
      <w:t xml:space="preserve">	</w:t>
      <w:t xml:space="preserve">Página </w:t>
      <w:fldChar w:fldCharType="begin"/>
      <w:instrText xml:space="preserve">PAGE</w:instrText>
      <w:fldChar w:fldCharType="separate"/>
      <w:fldChar w:fldCharType="end"/>
    </w:r>
    <w:r>
      <w:t xml:space="preserve"> de </w:t>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Style w:val="SaChrome"/>
      <w:pBdr>
        <w:bottom w:val="single" w:color="BDE1F3" w:sz="4"/>
      </w:pBdr>
    </w:pPr>
    <w:r>
      <w:t xml:space="preserve">Entrega de EPI — ……………………………………………… — ficha n.º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021D28"/>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SaTitle">
    <w:name w:val="SafeAlly Title"/>
    <w:basedOn w:val="Normal"/>
    <w:next w:val="SaSubtitle"/>
    <w:qFormat/>
    <w:pPr>
      <w:spacing w:after="60"/>
    </w:pPr>
    <w:rPr>
      <w:b/>
      <w:bCs/>
      <w:color w:val="014259"/>
      <w:sz w:val="32"/>
      <w:szCs w:val="32"/>
    </w:rPr>
  </w:style>
  <w:style w:type="paragraph" w:styleId="SaSubtitle">
    <w:name w:val="SafeAlly Subtitle"/>
    <w:basedOn w:val="Normal"/>
    <w:next w:val="SaBody"/>
    <w:qFormat/>
    <w:pPr>
      <w:pBdr>
        <w:bottom w:val="single" w:color="FFC250" w:sz="12"/>
      </w:pBdr>
      <w:spacing w:after="240"/>
    </w:pPr>
    <w:rPr>
      <w:color w:val="005674"/>
      <w:sz w:val="20"/>
      <w:szCs w:val="20"/>
    </w:rPr>
  </w:style>
  <w:style w:type="paragraph" w:styleId="SaH1">
    <w:name w:val="SafeAlly Heading 1"/>
    <w:basedOn w:val="Normal"/>
    <w:next w:val="SaBody"/>
    <w:qFormat/>
    <w:pPr>
      <w:keepNext/>
      <w:pBdr>
        <w:bottom w:val="single" w:color="BDE1F3" w:sz="6"/>
      </w:pBdr>
      <w:spacing w:after="40" w:before="320"/>
    </w:pPr>
    <w:rPr>
      <w:b/>
      <w:bCs/>
      <w:color w:val="014259"/>
      <w:sz w:val="24"/>
      <w:szCs w:val="24"/>
    </w:rPr>
  </w:style>
  <w:style w:type="paragraph" w:styleId="SaH2">
    <w:name w:val="SafeAlly Heading 2"/>
    <w:basedOn w:val="Normal"/>
    <w:next w:val="SaBody"/>
    <w:qFormat/>
    <w:pPr>
      <w:keepNext/>
      <w:spacing w:after="40" w:before="240"/>
    </w:pPr>
    <w:rPr>
      <w:b/>
      <w:bCs/>
      <w:color w:val="005674"/>
      <w:sz w:val="21"/>
      <w:szCs w:val="21"/>
    </w:rPr>
  </w:style>
  <w:style w:type="paragraph" w:styleId="SaBody">
    <w:name w:val="SafeAlly Body"/>
    <w:basedOn w:val="Normal"/>
    <w:next w:val="SaBody"/>
    <w:qFormat/>
    <w:pPr>
      <w:spacing w:after="120" w:line="264"/>
    </w:pPr>
    <w:rPr>
      <w:color w:val="021D28"/>
      <w:sz w:val="20"/>
      <w:szCs w:val="20"/>
    </w:rPr>
  </w:style>
  <w:style w:type="paragraph" w:styleId="SaBasis">
    <w:name w:val="SafeAlly Basis"/>
    <w:basedOn w:val="Normal"/>
    <w:next w:val="SaBody"/>
    <w:pPr>
      <w:keepNext/>
      <w:spacing w:after="140"/>
    </w:pPr>
    <w:rPr>
      <w:i/>
      <w:iCs/>
      <w:color w:val="005674"/>
      <w:sz w:val="16"/>
      <w:szCs w:val="16"/>
    </w:rPr>
  </w:style>
  <w:style w:type="paragraph" w:styleId="SaNote">
    <w:name w:val="SafeAlly Note"/>
    <w:basedOn w:val="Normal"/>
    <w:next w:val="SaBody"/>
    <w:pPr>
      <w:spacing w:after="160"/>
    </w:pPr>
    <w:rPr>
      <w:color w:val="053143"/>
      <w:sz w:val="16"/>
      <w:szCs w:val="16"/>
    </w:rPr>
  </w:style>
  <w:style w:type="paragraph" w:styleId="SaCell">
    <w:name w:val="SafeAlly Cell"/>
    <w:basedOn w:val="Normal"/>
    <w:next w:val="SaCell"/>
    <w:pPr>
      <w:spacing w:after="40" w:before="40"/>
    </w:pPr>
    <w:rPr>
      <w:color w:val="021D28"/>
      <w:sz w:val="19"/>
      <w:szCs w:val="19"/>
    </w:rPr>
  </w:style>
  <w:style w:type="paragraph" w:styleId="SaCellHeader">
    <w:name w:val="SafeAlly Cell Header"/>
    <w:basedOn w:val="Normal"/>
    <w:next w:val="SaCell"/>
    <w:pPr>
      <w:spacing w:after="60" w:before="60"/>
    </w:pPr>
    <w:rPr>
      <w:b/>
      <w:bCs/>
      <w:color w:val="FFFFFF"/>
      <w:sz w:val="18"/>
      <w:szCs w:val="18"/>
    </w:rPr>
  </w:style>
  <w:style w:type="paragraph" w:styleId="SaHint">
    <w:name w:val="SafeAlly Hint"/>
    <w:basedOn w:val="Normal"/>
    <w:next w:val="SaCell"/>
    <w:pPr>
      <w:spacing w:after="40" w:before="40"/>
    </w:pPr>
    <w:rPr>
      <w:i/>
      <w:iCs/>
      <w:color w:val="005674"/>
      <w:sz w:val="17"/>
      <w:szCs w:val="17"/>
    </w:rPr>
  </w:style>
  <w:style w:type="paragraph" w:styleId="SaChrome">
    <w:name w:val="SafeAlly Chrome"/>
    <w:basedOn w:val="Normal"/>
    <w:next w:val="SaChrome"/>
    <w:pPr>
      <w:spacing w:after="0"/>
    </w:pPr>
    <w:rPr>
      <w:color w:val="005674"/>
      <w:sz w:val="15"/>
      <w:szCs w:val="15"/>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ugchjpcpjjb64ofrx4i-0" Type="http://schemas.openxmlformats.org/officeDocument/2006/relationships/hyperlink" Target="https://www.boe.es/buscar/act.php?id=BOE-A-1997-12735" TargetMode="External"/><Relationship Id="rIdqekna5ayf5xr8h89_usdt" Type="http://schemas.openxmlformats.org/officeDocument/2006/relationships/hyperlink" Target="https://www.boe.es/buscar/act.php?id=BOE-A-1995-24292" TargetMode="External"/><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Ficha de entrega de equipos de protección individual</dc:title>
  <dc:subject>Ficha individual de entrega de EPI, para rellenar y firmar — España. SafeAlly, safeally.net.</dc:subject>
  <dc:creator>SafeAlly — safeally.net</dc:creator>
  <dc:description>Ficha individual de entrega de EPI, para rellenar y firmar — España. SafeAlly, safeally.net.</dc:description>
  <cp:lastModifiedBy>SafeAlly — safeally.net</cp:lastModifiedBy>
  <cp:revision>1</cp:revision>
  <dcterms:created xsi:type="dcterms:W3CDTF">2026-09-08T00:00:00.000Z</dcterms:created>
  <dcterms:modified xsi:type="dcterms:W3CDTF">2026-09-08T00:00:00.000Z</dcterms:modified>
</cp:coreProperties>
</file>

<file path=docProps/custom.xml><?xml version="1.0" encoding="utf-8"?>
<Properties xmlns="http://schemas.openxmlformats.org/officeDocument/2006/custom-properties" xmlns:vt="http://schemas.openxmlformats.org/officeDocument/2006/docPropsVTypes"/>
</file>