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SaTitle"/>
      </w:pPr>
      <w:r>
        <w:t xml:space="preserve">Fiche de dotation en équipements de protection individuelle</w:t>
      </w:r>
    </w:p>
    <w:p>
      <w:pPr>
        <w:pStyle w:val="SaSubtitle"/>
      </w:pPr>
      <w:r>
        <w:t xml:space="preserve">France — Code du travail, articles R. 4321-4, R. 4323-91 à R. 4323-106</w:t>
      </w:r>
    </w:p>
    <w:tbl>
      <w:tblPr>
        <w:tblW w:type="dxa" w:w="9638"/>
        <w:tblBorders>
          <w:top w:val="single" w:color="FFC250" w:sz="8"/>
          <w:left w:val="single" w:color="FFC250" w:sz="8"/>
          <w:bottom w:val="single" w:color="FFC250" w:sz="8"/>
          <w:right w:val="single" w:color="FFC250" w:sz="8"/>
          <w:insideH w:val="none" w:color="auto" w:sz="0"/>
          <w:insideV w:val="none" w:color="auto" w:sz="0"/>
        </w:tblBorders>
      </w:tblPr>
      <w:tblGrid>
        <w:gridCol w:w="9638"/>
      </w:tblGrid>
      <w:tr>
        <w:tc>
          <w:tcPr>
            <w:tcW w:type="dxa" w:w="9638"/>
            <w:shd w:fill="FFEED3" w:color="auto" w:val="clear"/>
            <w:tcMar>
              <w:top w:type="dxa" w:w="160"/>
              <w:left w:type="dxa" w:w="200"/>
              <w:bottom w:type="dxa" w:w="160"/>
              <w:right w:type="dxa" w:w="200"/>
            </w:tcMar>
          </w:tcPr>
          <w:p>
            <w:pPr>
              <w:pStyle w:val="SaCell"/>
            </w:pPr>
            <w:r>
              <w:rPr>
                <w:b/>
                <w:bCs/>
              </w:rPr>
              <w:t xml:space="preserve">Ce que cette fiche n'est pas</w:t>
            </w:r>
          </w:p>
          <w:p>
            <w:pPr>
              <w:pStyle w:val="SaCell"/>
            </w:pPr>
            <w:r>
              <w:t xml:space="preserve">Ce n'est pas une décharge de responsabilité. Faire signer une fiche de dotation ne transfère rien au salarié : l'obligation de sécurité reste celle de l'employeur, et un EPI remis contre signature sur un poste où le risque pouvait être supprimé reste un manquement. L'EPI est le dernier niveau de la hiérarchie des mesures (L. 4121-2), pas le premier. Rien ici ne constitue un conseil juridique.</w:t>
            </w:r>
          </w:p>
        </w:tc>
      </w:tr>
    </w:tbl>
    <w:p>
      <w:pPr>
        <w:pStyle w:val="SaChrome"/>
      </w:pPr>
    </w:p>
    <w:p>
      <w:pPr>
        <w:pStyle w:val="SaBody"/>
      </w:pPr>
      <w:r>
        <w:rPr>
          <w:b w:val="false"/>
          <w:bCs w:val="false"/>
        </w:rPr>
        <w:t xml:space="preserve">Les zones grisées sont à remplir. Les mentions entre crochets sont des exemples : remplacez-les. Ce document est modifiable — retirez ce qui ne vous concerne pas, mais lisez d'abord la mention de chaque section ci-dessous.</w:t>
      </w:r>
    </w:p>
    <w:p>
      <w:pPr>
        <w:pStyle w:val="SaH1"/>
      </w:pPr>
      <w:r>
        <w:t xml:space="preserve">1. Salarié et poste concernés</w:t>
      </w:r>
    </w:p>
    <w:p>
      <w:pPr>
        <w:pStyle w:val="SaBasis"/>
      </w:pPr>
      <w:r>
        <w:t xml:space="preserve">— pratique de métier, rien ne l'impose</w:t>
      </w:r>
    </w:p>
    <w:p>
      <w:pPr>
        <w:pStyle w:val="SaBody"/>
      </w:pPr>
      <w:r>
        <w:rPr>
          <w:b w:val="false"/>
          <w:bCs w:val="false"/>
        </w:rPr>
        <w:t xml:space="preserve">Aucun texte n'impose une fiche individuelle. Elle est là parce qu'un EPI est «réservé à un usage personnel» dans les faits comme dans la pratique du métier, et parce que la seule preuve utilisable un an plus tard est nominative et datée.</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2505"/>
        <w:gridCol w:w="2313"/>
        <w:gridCol w:w="2505"/>
        <w:gridCol w:w="2315"/>
      </w:tblGrid>
      <w:tr>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Nom et prénom</w:t>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Matricule</w:t>
            </w:r>
          </w:p>
        </w:tc>
        <w:tc>
          <w:tcPr>
            <w:tcW w:type="dxa" w:w="231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Poste de travail</w:t>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Service ou site</w:t>
            </w:r>
          </w:p>
        </w:tc>
        <w:tc>
          <w:tcPr>
            <w:tcW w:type="dxa" w:w="231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Date d'entrée sur le poste</w:t>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Responsable hiérarchique</w:t>
            </w:r>
          </w:p>
        </w:tc>
        <w:tc>
          <w:tcPr>
            <w:tcW w:type="dxa" w:w="231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Unité de travail du DUERP correspondante</w:t>
            </w:r>
          </w:p>
        </w:tc>
        <w:tc>
          <w:tcPr>
            <w:tcW w:type="dxa" w:w="7133"/>
            <w:gridSpan w:val="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Hint"/>
            </w:pPr>
            <w:r>
              <w:t xml:space="preserve">[fait le lien avec l'évaluation des risques]</w:t>
            </w:r>
          </w:p>
        </w:tc>
      </w:tr>
    </w:tbl>
    <w:p>
      <w:pPr>
        <w:pStyle w:val="SaChrome"/>
      </w:pPr>
    </w:p>
    <w:p>
      <w:pPr>
        <w:pStyle w:val="SaH1"/>
      </w:pPr>
      <w:r>
        <w:t xml:space="preserve">2. Risques contre lesquels ces EPI protègent</w:t>
      </w:r>
    </w:p>
    <w:p>
      <w:pPr>
        <w:pStyle w:val="SaBasis"/>
      </w:pPr>
      <w:r>
        <w:t xml:space="preserve">— imposé par la réglementation</w:t>
      </w:r>
    </w:p>
    <w:p>
      <w:pPr>
        <w:pStyle w:val="SaBody"/>
      </w:pPr>
      <w:r>
        <w:rPr>
          <w:b w:val="false"/>
          <w:bCs w:val="false"/>
        </w:rPr>
        <w:t xml:space="preserve">R. 4323-104 impose d'informer le salarié «de manière appropriée» des risques contre lesquels l'équipement le protège. Cette section est donc l'information écrite, et elle a un second effet utile : elle oblige à nommer le risque, ce qui rend visible le cas où un EPI est donné faute d'avoir traité le risque autrement.</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2891"/>
        <w:gridCol w:w="1927"/>
        <w:gridCol w:w="2505"/>
        <w:gridCol w:w="2315"/>
      </w:tblGrid>
      <w:tr>
        <w:trPr>
          <w:tblHeader/>
        </w:trPr>
        <w:tc>
          <w:tcPr>
            <w:tcW w:type="dxa" w:w="2891"/>
            <w:shd w:fill="014259" w:color="auto" w:val="clear"/>
            <w:tcMar>
              <w:top w:type="dxa" w:w="60"/>
              <w:left w:type="dxa" w:w="100"/>
              <w:bottom w:type="dxa" w:w="60"/>
              <w:right w:type="dxa" w:w="100"/>
            </w:tcMar>
          </w:tcPr>
          <w:p>
            <w:pPr>
              <w:pStyle w:val="SaCellHeader"/>
            </w:pPr>
            <w:r>
              <w:t xml:space="preserve">Risque identifié au DUERP</w:t>
            </w:r>
          </w:p>
        </w:tc>
        <w:tc>
          <w:tcPr>
            <w:tcW w:type="dxa" w:w="1927"/>
            <w:shd w:fill="014259" w:color="auto" w:val="clear"/>
            <w:tcMar>
              <w:top w:type="dxa" w:w="60"/>
              <w:left w:type="dxa" w:w="100"/>
              <w:bottom w:type="dxa" w:w="60"/>
              <w:right w:type="dxa" w:w="100"/>
            </w:tcMar>
          </w:tcPr>
          <w:p>
            <w:pPr>
              <w:pStyle w:val="SaCellHeader"/>
            </w:pPr>
            <w:r>
              <w:t xml:space="preserve">Partie du corps exposée</w:t>
            </w:r>
          </w:p>
        </w:tc>
        <w:tc>
          <w:tcPr>
            <w:tcW w:type="dxa" w:w="2505"/>
            <w:shd w:fill="014259" w:color="auto" w:val="clear"/>
            <w:tcMar>
              <w:top w:type="dxa" w:w="60"/>
              <w:left w:type="dxa" w:w="100"/>
              <w:bottom w:type="dxa" w:w="60"/>
              <w:right w:type="dxa" w:w="100"/>
            </w:tcMar>
          </w:tcPr>
          <w:p>
            <w:pPr>
              <w:pStyle w:val="SaCellHeader"/>
            </w:pPr>
            <w:r>
              <w:t xml:space="preserve">Mesures collectives en place</w:t>
            </w:r>
          </w:p>
        </w:tc>
        <w:tc>
          <w:tcPr>
            <w:tcW w:type="dxa" w:w="2315"/>
            <w:shd w:fill="014259" w:color="auto" w:val="clear"/>
            <w:tcMar>
              <w:top w:type="dxa" w:w="60"/>
              <w:left w:type="dxa" w:w="100"/>
              <w:bottom w:type="dxa" w:w="60"/>
              <w:right w:type="dxa" w:w="100"/>
            </w:tcMar>
          </w:tcPr>
          <w:p>
            <w:pPr>
              <w:pStyle w:val="SaCellHeader"/>
            </w:pPr>
            <w:r>
              <w:t xml:space="preserve">Pourquoi un EPI reste nécessaire</w:t>
            </w:r>
          </w:p>
        </w:tc>
      </w:tr>
      <w:tr>
        <w:trPr>
          <w:trHeight w:val="460" w:hRule="atLeast"/>
        </w:trPr>
        <w:tc>
          <w:tcPr>
            <w:tcW w:type="dxa" w:w="28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8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8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8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8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8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31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bl>
    <w:p>
      <w:pPr>
        <w:pStyle w:val="SaNote"/>
      </w:pPr>
      <w:r>
        <w:t xml:space="preserve">La dernière colonne est celle qu'un contrôle lit. «Bruit résiduel de 87 dB(A) après capotage de la presse» est une réponse ; «port obligatoire» n'en est pas une.</w:t>
      </w:r>
    </w:p>
    <w:p>
      <w:pPr>
        <w:pStyle w:val="SaH1"/>
      </w:pPr>
      <w:r>
        <w:t xml:space="preserve">3. Équipements remis</w:t>
      </w:r>
    </w:p>
    <w:p>
      <w:pPr>
        <w:pStyle w:val="SaBasis"/>
      </w:pPr>
      <w:r>
        <w:t xml:space="preserve">— imposé par la réglementation</w:t>
      </w:r>
    </w:p>
    <w:p>
      <w:pPr>
        <w:pStyle w:val="SaBody"/>
      </w:pPr>
      <w:r>
        <w:rPr>
          <w:b w:val="false"/>
          <w:bCs w:val="false"/>
        </w:rPr>
        <w:t xml:space="preserve">R. 4323-95 : les équipements de protection individuelle et les vêtements de travail sont «fournis gratuitement par l'employeur», qui en assure le bon fonctionnement et le maintien dans un état hygiénique satisfaisant. La gratuité n'est donc pas une politique interne, et une retenue sur salaire pour un EPI n'a pas de base.</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867"/>
        <w:gridCol w:w="1927"/>
        <w:gridCol w:w="1734"/>
        <w:gridCol w:w="771"/>
        <w:gridCol w:w="578"/>
        <w:gridCol w:w="1156"/>
        <w:gridCol w:w="1156"/>
        <w:gridCol w:w="1449"/>
      </w:tblGrid>
      <w:tr>
        <w:trPr>
          <w:tblHeader/>
        </w:trPr>
        <w:tc>
          <w:tcPr>
            <w:tcW w:type="dxa" w:w="867"/>
            <w:shd w:fill="014259" w:color="auto" w:val="clear"/>
            <w:tcMar>
              <w:top w:type="dxa" w:w="60"/>
              <w:left w:type="dxa" w:w="100"/>
              <w:bottom w:type="dxa" w:w="60"/>
              <w:right w:type="dxa" w:w="100"/>
            </w:tcMar>
          </w:tcPr>
          <w:p>
            <w:pPr>
              <w:pStyle w:val="SaCellHeader"/>
            </w:pPr>
            <w:r>
              <w:t xml:space="preserve">Date</w:t>
            </w:r>
          </w:p>
        </w:tc>
        <w:tc>
          <w:tcPr>
            <w:tcW w:type="dxa" w:w="1927"/>
            <w:shd w:fill="014259" w:color="auto" w:val="clear"/>
            <w:tcMar>
              <w:top w:type="dxa" w:w="60"/>
              <w:left w:type="dxa" w:w="100"/>
              <w:bottom w:type="dxa" w:w="60"/>
              <w:right w:type="dxa" w:w="100"/>
            </w:tcMar>
          </w:tcPr>
          <w:p>
            <w:pPr>
              <w:pStyle w:val="SaCellHeader"/>
            </w:pPr>
            <w:r>
              <w:t xml:space="preserve">Équipement</w:t>
            </w:r>
          </w:p>
        </w:tc>
        <w:tc>
          <w:tcPr>
            <w:tcW w:type="dxa" w:w="1734"/>
            <w:shd w:fill="014259" w:color="auto" w:val="clear"/>
            <w:tcMar>
              <w:top w:type="dxa" w:w="60"/>
              <w:left w:type="dxa" w:w="100"/>
              <w:bottom w:type="dxa" w:w="60"/>
              <w:right w:type="dxa" w:w="100"/>
            </w:tcMar>
          </w:tcPr>
          <w:p>
            <w:pPr>
              <w:pStyle w:val="SaCellHeader"/>
            </w:pPr>
            <w:r>
              <w:t xml:space="preserve">Marque, modèle, norme</w:t>
            </w:r>
          </w:p>
        </w:tc>
        <w:tc>
          <w:tcPr>
            <w:tcW w:type="dxa" w:w="771"/>
            <w:shd w:fill="014259" w:color="auto" w:val="clear"/>
            <w:tcMar>
              <w:top w:type="dxa" w:w="60"/>
              <w:left w:type="dxa" w:w="100"/>
              <w:bottom w:type="dxa" w:w="60"/>
              <w:right w:type="dxa" w:w="100"/>
            </w:tcMar>
          </w:tcPr>
          <w:p>
            <w:pPr>
              <w:pStyle w:val="SaCellHeader"/>
            </w:pPr>
            <w:r>
              <w:t xml:space="preserve">Taille</w:t>
            </w:r>
          </w:p>
        </w:tc>
        <w:tc>
          <w:tcPr>
            <w:tcW w:type="dxa" w:w="578"/>
            <w:shd w:fill="014259" w:color="auto" w:val="clear"/>
            <w:tcMar>
              <w:top w:type="dxa" w:w="60"/>
              <w:left w:type="dxa" w:w="100"/>
              <w:bottom w:type="dxa" w:w="60"/>
              <w:right w:type="dxa" w:w="100"/>
            </w:tcMar>
          </w:tcPr>
          <w:p>
            <w:pPr>
              <w:pStyle w:val="SaCellHeader"/>
            </w:pPr>
            <w:r>
              <w:t xml:space="preserve">Qté</w:t>
            </w:r>
          </w:p>
        </w:tc>
        <w:tc>
          <w:tcPr>
            <w:tcW w:type="dxa" w:w="1156"/>
            <w:shd w:fill="014259" w:color="auto" w:val="clear"/>
            <w:tcMar>
              <w:top w:type="dxa" w:w="60"/>
              <w:left w:type="dxa" w:w="100"/>
              <w:bottom w:type="dxa" w:w="60"/>
              <w:right w:type="dxa" w:w="100"/>
            </w:tcMar>
          </w:tcPr>
          <w:p>
            <w:pPr>
              <w:pStyle w:val="SaCellHeader"/>
            </w:pPr>
            <w:r>
              <w:t xml:space="preserve">N° de série ou lot</w:t>
            </w:r>
          </w:p>
        </w:tc>
        <w:tc>
          <w:tcPr>
            <w:tcW w:type="dxa" w:w="1156"/>
            <w:shd w:fill="014259" w:color="auto" w:val="clear"/>
            <w:tcMar>
              <w:top w:type="dxa" w:w="60"/>
              <w:left w:type="dxa" w:w="100"/>
              <w:bottom w:type="dxa" w:w="60"/>
              <w:right w:type="dxa" w:w="100"/>
            </w:tcMar>
          </w:tcPr>
          <w:p>
            <w:pPr>
              <w:pStyle w:val="SaCellHeader"/>
            </w:pPr>
            <w:r>
              <w:t xml:space="preserve">Durée de vie ou péremption</w:t>
            </w:r>
          </w:p>
        </w:tc>
        <w:tc>
          <w:tcPr>
            <w:tcW w:type="dxa" w:w="1449"/>
            <w:shd w:fill="014259" w:color="auto" w:val="clear"/>
            <w:tcMar>
              <w:top w:type="dxa" w:w="60"/>
              <w:left w:type="dxa" w:w="100"/>
              <w:bottom w:type="dxa" w:w="60"/>
              <w:right w:type="dxa" w:w="100"/>
            </w:tcMar>
          </w:tcPr>
          <w:p>
            <w:pPr>
              <w:pStyle w:val="SaCellHeader"/>
            </w:pPr>
            <w:r>
              <w:t xml:space="preserve">Visa du salarié</w:t>
            </w:r>
          </w:p>
        </w:tc>
      </w:tr>
      <w:tr>
        <w:trPr>
          <w:trHeight w:val="460" w:hRule="atLeast"/>
        </w:trPr>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77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57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77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57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77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57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77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57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77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57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77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57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77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57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77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57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77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57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77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57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77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57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77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57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77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57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77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57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bl>
    <w:p>
      <w:pPr>
        <w:pStyle w:val="SaNote"/>
      </w:pPr>
      <w:r>
        <w:t xml:space="preserve">La colonne «durée de vie ou péremption» concerne surtout les EPI dont le fabricant fixe une durée d'utilisation indépendamment de l'usure visible : harnais, casques, cartouches filtrantes. C'est la donnée qui rend un registre exploitable, et celle qui manque le plus souvent.</w:t>
      </w:r>
    </w:p>
    <w:p>
      <w:pPr>
        <w:pStyle w:val="SaH1"/>
      </w:pPr>
      <w:r>
        <w:t xml:space="preserve">4. Consigne d'utilisation et formation</w:t>
      </w:r>
    </w:p>
    <w:p>
      <w:pPr>
        <w:pStyle w:val="SaBasis"/>
      </w:pPr>
      <w:r>
        <w:t xml:space="preserve">— imposé par la réglementation</w:t>
      </w:r>
    </w:p>
    <w:p>
      <w:pPr>
        <w:pStyle w:val="SaBody"/>
      </w:pPr>
      <w:r>
        <w:rPr>
          <w:b w:val="false"/>
          <w:bCs w:val="false"/>
        </w:rPr>
        <w:t xml:space="preserve">Deux obligations distinctes, et la seconde est plus exigeante qu'on ne le croit. R. 4323-105 impose une consigne d'utilisation écrite, compréhensible, reprenant les informations à donner au salarié. R. 4323-106 impose une formation adéquate comportant, en tant que de besoin, un entraînement au port de l'équipement.</w:t>
      </w:r>
    </w:p>
    <w:p>
      <w:pPr>
        <w:pStyle w:val="SaBody"/>
      </w:pPr>
      <w:r>
        <w:rPr>
          <w:b/>
          <w:bCs/>
        </w:rPr>
        <w:t xml:space="preserve">Un entraînement au port n'est pas une remise de notice. Pour un harnais ou un appareil respiratoire, c'est un essai réel, encadré, tracé.</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2120"/>
        <w:gridCol w:w="1734"/>
        <w:gridCol w:w="2505"/>
        <w:gridCol w:w="1156"/>
        <w:gridCol w:w="2123"/>
      </w:tblGrid>
      <w:tr>
        <w:trPr>
          <w:tblHeader/>
        </w:trPr>
        <w:tc>
          <w:tcPr>
            <w:tcW w:type="dxa" w:w="2120"/>
            <w:shd w:fill="014259" w:color="auto" w:val="clear"/>
            <w:tcMar>
              <w:top w:type="dxa" w:w="60"/>
              <w:left w:type="dxa" w:w="100"/>
              <w:bottom w:type="dxa" w:w="60"/>
              <w:right w:type="dxa" w:w="100"/>
            </w:tcMar>
          </w:tcPr>
          <w:p>
            <w:pPr>
              <w:pStyle w:val="SaCellHeader"/>
            </w:pPr>
            <w:r>
              <w:t xml:space="preserve">Équipement</w:t>
            </w:r>
          </w:p>
        </w:tc>
        <w:tc>
          <w:tcPr>
            <w:tcW w:type="dxa" w:w="1734"/>
            <w:shd w:fill="014259" w:color="auto" w:val="clear"/>
            <w:tcMar>
              <w:top w:type="dxa" w:w="60"/>
              <w:left w:type="dxa" w:w="100"/>
              <w:bottom w:type="dxa" w:w="60"/>
              <w:right w:type="dxa" w:w="100"/>
            </w:tcMar>
          </w:tcPr>
          <w:p>
            <w:pPr>
              <w:pStyle w:val="SaCellHeader"/>
            </w:pPr>
            <w:r>
              <w:t xml:space="preserve">Consigne d'utilisation remise le</w:t>
            </w:r>
          </w:p>
        </w:tc>
        <w:tc>
          <w:tcPr>
            <w:tcW w:type="dxa" w:w="2505"/>
            <w:shd w:fill="014259" w:color="auto" w:val="clear"/>
            <w:tcMar>
              <w:top w:type="dxa" w:w="60"/>
              <w:left w:type="dxa" w:w="100"/>
              <w:bottom w:type="dxa" w:w="60"/>
              <w:right w:type="dxa" w:w="100"/>
            </w:tcMar>
          </w:tcPr>
          <w:p>
            <w:pPr>
              <w:pStyle w:val="SaCellHeader"/>
            </w:pPr>
            <w:r>
              <w:t xml:space="preserve">Formation ou entraînement au port</w:t>
            </w:r>
          </w:p>
        </w:tc>
        <w:tc>
          <w:tcPr>
            <w:tcW w:type="dxa" w:w="1156"/>
            <w:shd w:fill="014259" w:color="auto" w:val="clear"/>
            <w:tcMar>
              <w:top w:type="dxa" w:w="60"/>
              <w:left w:type="dxa" w:w="100"/>
              <w:bottom w:type="dxa" w:w="60"/>
              <w:right w:type="dxa" w:w="100"/>
            </w:tcMar>
          </w:tcPr>
          <w:p>
            <w:pPr>
              <w:pStyle w:val="SaCellHeader"/>
            </w:pPr>
            <w:r>
              <w:t xml:space="preserve">Date</w:t>
            </w:r>
          </w:p>
        </w:tc>
        <w:tc>
          <w:tcPr>
            <w:tcW w:type="dxa" w:w="2123"/>
            <w:shd w:fill="014259" w:color="auto" w:val="clear"/>
            <w:tcMar>
              <w:top w:type="dxa" w:w="60"/>
              <w:left w:type="dxa" w:w="100"/>
              <w:bottom w:type="dxa" w:w="60"/>
              <w:right w:type="dxa" w:w="100"/>
            </w:tcMar>
          </w:tcPr>
          <w:p>
            <w:pPr>
              <w:pStyle w:val="SaCellHeader"/>
            </w:pPr>
            <w:r>
              <w:t xml:space="preserve">Formateur</w:t>
            </w:r>
          </w:p>
        </w:tc>
      </w:tr>
      <w:tr>
        <w:trPr>
          <w:trHeight w:val="460" w:hRule="atLeast"/>
        </w:trPr>
        <w:tc>
          <w:tcPr>
            <w:tcW w:type="dxa" w:w="212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12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12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12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12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12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12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12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12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12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12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12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12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12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12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12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bl>
    <w:p>
      <w:pPr>
        <w:pStyle w:val="SaChrome"/>
      </w:pPr>
    </w:p>
    <w:p>
      <w:pPr>
        <w:pStyle w:val="SaH1"/>
      </w:pPr>
      <w:r>
        <w:t xml:space="preserve">5. Vérifications générales périodiques</w:t>
      </w:r>
    </w:p>
    <w:p>
      <w:pPr>
        <w:pStyle w:val="SaBasis"/>
      </w:pPr>
      <w:r>
        <w:t xml:space="preserve">— imposé par la réglementation</w:t>
      </w:r>
    </w:p>
    <w:p>
      <w:pPr>
        <w:pStyle w:val="SaBody"/>
      </w:pPr>
      <w:r>
        <w:rPr>
          <w:b w:val="false"/>
          <w:bCs w:val="false"/>
        </w:rPr>
        <w:t xml:space="preserve">R. 4323-99 renvoie à des arrêtés ministériels la liste des EPI soumis à vérifications générales périodiques. L'arrêté du 19 mars 1993 est celui qui vaut pour le régime général : il vise notamment les appareils de protection respiratoire autonomes, les systèmes de protection contre les chutes de hauteur, les gilets de sauvetage gonflables et les stocks de cartouches filtrantes.</w:t>
      </w:r>
    </w:p>
    <w:p>
      <w:pPr>
        <w:pStyle w:val="SaBody"/>
      </w:pPr>
      <w:r>
        <w:rPr>
          <w:b/>
          <w:bCs/>
        </w:rPr>
        <w:t xml:space="preserve">La périodicité n'est pas la même pour tous et ne se déduit pas de l'usage : elle se lit dans l'arrêté et dans la notice du fabricant, et c'est la raison pour laquelle la colonne existe au lieu d'un intervalle imprimé d'avance.</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2120"/>
        <w:gridCol w:w="1349"/>
        <w:gridCol w:w="1734"/>
        <w:gridCol w:w="1349"/>
        <w:gridCol w:w="1349"/>
        <w:gridCol w:w="1737"/>
      </w:tblGrid>
      <w:tr>
        <w:trPr>
          <w:tblHeader/>
        </w:trPr>
        <w:tc>
          <w:tcPr>
            <w:tcW w:type="dxa" w:w="2120"/>
            <w:shd w:fill="014259" w:color="auto" w:val="clear"/>
            <w:tcMar>
              <w:top w:type="dxa" w:w="60"/>
              <w:left w:type="dxa" w:w="100"/>
              <w:bottom w:type="dxa" w:w="60"/>
              <w:right w:type="dxa" w:w="100"/>
            </w:tcMar>
          </w:tcPr>
          <w:p>
            <w:pPr>
              <w:pStyle w:val="SaCellHeader"/>
            </w:pPr>
            <w:r>
              <w:t xml:space="preserve">Équipement soumis à VGP</w:t>
            </w:r>
          </w:p>
        </w:tc>
        <w:tc>
          <w:tcPr>
            <w:tcW w:type="dxa" w:w="1349"/>
            <w:shd w:fill="014259" w:color="auto" w:val="clear"/>
            <w:tcMar>
              <w:top w:type="dxa" w:w="60"/>
              <w:left w:type="dxa" w:w="100"/>
              <w:bottom w:type="dxa" w:w="60"/>
              <w:right w:type="dxa" w:w="100"/>
            </w:tcMar>
          </w:tcPr>
          <w:p>
            <w:pPr>
              <w:pStyle w:val="SaCellHeader"/>
            </w:pPr>
            <w:r>
              <w:t xml:space="preserve">Périodicité retenue</w:t>
            </w:r>
          </w:p>
        </w:tc>
        <w:tc>
          <w:tcPr>
            <w:tcW w:type="dxa" w:w="1734"/>
            <w:shd w:fill="014259" w:color="auto" w:val="clear"/>
            <w:tcMar>
              <w:top w:type="dxa" w:w="60"/>
              <w:left w:type="dxa" w:w="100"/>
              <w:bottom w:type="dxa" w:w="60"/>
              <w:right w:type="dxa" w:w="100"/>
            </w:tcMar>
          </w:tcPr>
          <w:p>
            <w:pPr>
              <w:pStyle w:val="SaCellHeader"/>
            </w:pPr>
            <w:r>
              <w:t xml:space="preserve">Base de la périodicité</w:t>
            </w:r>
          </w:p>
        </w:tc>
        <w:tc>
          <w:tcPr>
            <w:tcW w:type="dxa" w:w="1349"/>
            <w:shd w:fill="014259" w:color="auto" w:val="clear"/>
            <w:tcMar>
              <w:top w:type="dxa" w:w="60"/>
              <w:left w:type="dxa" w:w="100"/>
              <w:bottom w:type="dxa" w:w="60"/>
              <w:right w:type="dxa" w:w="100"/>
            </w:tcMar>
          </w:tcPr>
          <w:p>
            <w:pPr>
              <w:pStyle w:val="SaCellHeader"/>
            </w:pPr>
            <w:r>
              <w:t xml:space="preserve">Dernière vérification</w:t>
            </w:r>
          </w:p>
        </w:tc>
        <w:tc>
          <w:tcPr>
            <w:tcW w:type="dxa" w:w="1349"/>
            <w:shd w:fill="014259" w:color="auto" w:val="clear"/>
            <w:tcMar>
              <w:top w:type="dxa" w:w="60"/>
              <w:left w:type="dxa" w:w="100"/>
              <w:bottom w:type="dxa" w:w="60"/>
              <w:right w:type="dxa" w:w="100"/>
            </w:tcMar>
          </w:tcPr>
          <w:p>
            <w:pPr>
              <w:pStyle w:val="SaCellHeader"/>
            </w:pPr>
            <w:r>
              <w:t xml:space="preserve">Prochaine échéance</w:t>
            </w:r>
          </w:p>
        </w:tc>
        <w:tc>
          <w:tcPr>
            <w:tcW w:type="dxa" w:w="1737"/>
            <w:shd w:fill="014259" w:color="auto" w:val="clear"/>
            <w:tcMar>
              <w:top w:type="dxa" w:w="60"/>
              <w:left w:type="dxa" w:w="100"/>
              <w:bottom w:type="dxa" w:w="60"/>
              <w:right w:type="dxa" w:w="100"/>
            </w:tcMar>
          </w:tcPr>
          <w:p>
            <w:pPr>
              <w:pStyle w:val="SaCellHeader"/>
            </w:pPr>
            <w:r>
              <w:t xml:space="preserve">Par qui</w:t>
            </w:r>
          </w:p>
        </w:tc>
      </w:tr>
      <w:tr>
        <w:trPr>
          <w:trHeight w:val="460" w:hRule="atLeast"/>
        </w:trPr>
        <w:tc>
          <w:tcPr>
            <w:tcW w:type="dxa" w:w="212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4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4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4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12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4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4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4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12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4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4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4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12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4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4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4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12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4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4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4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12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4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4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4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12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4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4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4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12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4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4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4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bl>
    <w:p>
      <w:pPr>
        <w:pStyle w:val="SaNote"/>
      </w:pPr>
      <w:r>
        <w:t xml:space="preserve">La colonne «base de la périodicité» évite la faute la plus commune de tout ce domaine : traiter une préconisation de notice comme une obligation réglementaire, ou l'inverse. Écrivez «arrêté du 19 mars 1993», «notice du fabricant» ou «décision de l'employeur».</w:t>
      </w:r>
    </w:p>
    <w:p>
      <w:pPr>
        <w:pStyle w:val="SaH1"/>
      </w:pPr>
      <w:r>
        <w:t xml:space="preserve">6. Remplacement, restitution et signalement</w:t>
      </w:r>
    </w:p>
    <w:p>
      <w:pPr>
        <w:pStyle w:val="SaBasis"/>
      </w:pPr>
      <w:r>
        <w:t xml:space="preserve">— pratique de métier, rien ne l'impose</w:t>
      </w:r>
    </w:p>
    <w:p>
      <w:pPr>
        <w:pStyle w:val="SaBody"/>
      </w:pPr>
      <w:r>
        <w:rPr>
          <w:b w:val="false"/>
          <w:bCs w:val="false"/>
        </w:rPr>
        <w:t xml:space="preserve">Rien n'impose de tracer les restitutions. C'est néanmoins la moitié manquante de la plupart des registres : sans elle, on ne sait pas si un harnais absent est perdu, mis au rebut ou dans le camion de quelqu'un qui a quitté l'entreprise.</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963"/>
        <w:gridCol w:w="1927"/>
        <w:gridCol w:w="2891"/>
        <w:gridCol w:w="1927"/>
        <w:gridCol w:w="1930"/>
      </w:tblGrid>
      <w:tr>
        <w:trPr>
          <w:tblHeader/>
        </w:trPr>
        <w:tc>
          <w:tcPr>
            <w:tcW w:type="dxa" w:w="963"/>
            <w:shd w:fill="014259" w:color="auto" w:val="clear"/>
            <w:tcMar>
              <w:top w:type="dxa" w:w="60"/>
              <w:left w:type="dxa" w:w="100"/>
              <w:bottom w:type="dxa" w:w="60"/>
              <w:right w:type="dxa" w:w="100"/>
            </w:tcMar>
          </w:tcPr>
          <w:p>
            <w:pPr>
              <w:pStyle w:val="SaCellHeader"/>
            </w:pPr>
            <w:r>
              <w:t xml:space="preserve">Date</w:t>
            </w:r>
          </w:p>
        </w:tc>
        <w:tc>
          <w:tcPr>
            <w:tcW w:type="dxa" w:w="1927"/>
            <w:shd w:fill="014259" w:color="auto" w:val="clear"/>
            <w:tcMar>
              <w:top w:type="dxa" w:w="60"/>
              <w:left w:type="dxa" w:w="100"/>
              <w:bottom w:type="dxa" w:w="60"/>
              <w:right w:type="dxa" w:w="100"/>
            </w:tcMar>
          </w:tcPr>
          <w:p>
            <w:pPr>
              <w:pStyle w:val="SaCellHeader"/>
            </w:pPr>
            <w:r>
              <w:t xml:space="preserve">Équipement</w:t>
            </w:r>
          </w:p>
        </w:tc>
        <w:tc>
          <w:tcPr>
            <w:tcW w:type="dxa" w:w="2891"/>
            <w:shd w:fill="014259" w:color="auto" w:val="clear"/>
            <w:tcMar>
              <w:top w:type="dxa" w:w="60"/>
              <w:left w:type="dxa" w:w="100"/>
              <w:bottom w:type="dxa" w:w="60"/>
              <w:right w:type="dxa" w:w="100"/>
            </w:tcMar>
          </w:tcPr>
          <w:p>
            <w:pPr>
              <w:pStyle w:val="SaCellHeader"/>
            </w:pPr>
            <w:r>
              <w:t xml:space="preserve">Motif : usure · défaut · perte · fin de poste · péremption</w:t>
            </w:r>
          </w:p>
        </w:tc>
        <w:tc>
          <w:tcPr>
            <w:tcW w:type="dxa" w:w="1927"/>
            <w:shd w:fill="014259" w:color="auto" w:val="clear"/>
            <w:tcMar>
              <w:top w:type="dxa" w:w="60"/>
              <w:left w:type="dxa" w:w="100"/>
              <w:bottom w:type="dxa" w:w="60"/>
              <w:right w:type="dxa" w:w="100"/>
            </w:tcMar>
          </w:tcPr>
          <w:p>
            <w:pPr>
              <w:pStyle w:val="SaCellHeader"/>
            </w:pPr>
            <w:r>
              <w:t xml:space="preserve">Remplacé par</w:t>
            </w:r>
          </w:p>
        </w:tc>
        <w:tc>
          <w:tcPr>
            <w:tcW w:type="dxa" w:w="1930"/>
            <w:shd w:fill="014259" w:color="auto" w:val="clear"/>
            <w:tcMar>
              <w:top w:type="dxa" w:w="60"/>
              <w:left w:type="dxa" w:w="100"/>
              <w:bottom w:type="dxa" w:w="60"/>
              <w:right w:type="dxa" w:w="100"/>
            </w:tcMar>
          </w:tcPr>
          <w:p>
            <w:pPr>
              <w:pStyle w:val="SaCellHeader"/>
            </w:pPr>
            <w:r>
              <w:t xml:space="preserve">Visa</w:t>
            </w:r>
          </w:p>
        </w:tc>
      </w:tr>
      <w:tr>
        <w:trPr>
          <w:trHeight w:val="460" w:hRule="atLeast"/>
        </w:trPr>
        <w:tc>
          <w:tcPr>
            <w:tcW w:type="dxa" w:w="96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3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96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3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96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3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96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3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96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3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96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3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96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3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96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3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bl>
    <w:p>
      <w:pPr>
        <w:pStyle w:val="SaChrome"/>
      </w:pPr>
    </w:p>
    <w:p>
      <w:pPr>
        <w:pStyle w:val="SaH1"/>
      </w:pPr>
      <w:r>
        <w:t xml:space="preserve">7. Consultation du CSE sur les conditions de mise à disposition</w:t>
      </w:r>
    </w:p>
    <w:p>
      <w:pPr>
        <w:pStyle w:val="SaBasis"/>
      </w:pPr>
      <w:r>
        <w:t xml:space="preserve">— imposé par la réglementation</w:t>
      </w:r>
    </w:p>
    <w:p>
      <w:pPr>
        <w:pStyle w:val="SaBody"/>
      </w:pPr>
      <w:r>
        <w:rPr>
          <w:b w:val="false"/>
          <w:bCs w:val="false"/>
        </w:rPr>
        <w:t xml:space="preserve">R. 4323-97 : l'employeur détermine les conditions dans lesquelles les EPI sont mis à disposition et utilisés «après consultation du comité social et économique». C'est une obligation propre à la France dans ce lot, et elle porte sur les conditions — donc sur les règles de dotation elles-mêmes, pas seulement sur le choix d'un modèle.</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2505"/>
        <w:gridCol w:w="2313"/>
        <w:gridCol w:w="2505"/>
        <w:gridCol w:w="2315"/>
      </w:tblGrid>
      <w:tr>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Date de la consultation du CSE</w:t>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Référence du procès-verbal</w:t>
            </w:r>
          </w:p>
        </w:tc>
        <w:tc>
          <w:tcPr>
            <w:tcW w:type="dxa" w:w="231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Conditions arrêtées</w:t>
            </w:r>
          </w:p>
        </w:tc>
        <w:tc>
          <w:tcPr>
            <w:tcW w:type="dxa" w:w="7133"/>
            <w:gridSpan w:val="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Hint"/>
            </w:pPr>
            <w:r>
              <w:t xml:space="preserve">[qui reçoit quoi, où l'équipement est stocké, qui décide du remplacement, règles de port]</w:t>
            </w:r>
          </w:p>
        </w:tc>
      </w:tr>
    </w:tbl>
    <w:p>
      <w:pPr>
        <w:pStyle w:val="SaChrome"/>
      </w:pPr>
    </w:p>
    <w:p>
      <w:pPr>
        <w:pStyle w:val="SaH1"/>
      </w:pPr>
      <w:r>
        <w:t xml:space="preserve">8. Signatures</w:t>
      </w:r>
    </w:p>
    <w:p>
      <w:pPr>
        <w:pStyle w:val="SaBasis"/>
      </w:pPr>
      <w:r>
        <w:t xml:space="preserve">— pratique de métier, rien ne l'impose</w:t>
      </w:r>
    </w:p>
    <w:p>
      <w:pPr>
        <w:pStyle w:val="SaBody"/>
      </w:pPr>
      <w:r>
        <w:rPr>
          <w:b w:val="false"/>
          <w:bCs w:val="false"/>
        </w:rPr>
        <w:t xml:space="preserve">La signature du salarié atteste la remise et l'information reçue. Elle n'atteste pas qu'il accepte le risque, et elle ne vaut pas décharge : c'est la précision qui manque sur beaucoup de fiches et qui change ce que le document prouve.</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4819"/>
        <w:gridCol w:w="4819"/>
      </w:tblGrid>
      <w:tr>
        <w:tc>
          <w:tcPr>
            <w:tcW w:type="dxa" w:w="4819"/>
            <w:tcBorders>
              <w:top w:val="none" w:color="auto" w:sz="0"/>
              <w:left w:val="none" w:color="auto" w:sz="0"/>
              <w:bottom w:val="none" w:color="auto" w:sz="0"/>
              <w:right w:val="none" w:color="auto" w:sz="0"/>
            </w:tcBorders>
            <w:tcMar>
              <w:top w:type="dxa" w:w="80"/>
              <w:left w:type="dxa" w:w="0"/>
              <w:bottom w:type="dxa" w:w="40"/>
              <w:right w:type="dxa" w:w="160"/>
            </w:tcMar>
          </w:tcPr>
          <w:p>
            <w:pPr>
              <w:pStyle w:val="SaCell"/>
            </w:pPr>
            <w:r>
              <w:rPr>
                <w:b/>
                <w:bCs/>
              </w:rPr>
              <w:t xml:space="preserve">Le salarié</w:t>
            </w:r>
          </w:p>
          <w:p>
            <w:pPr>
              <w:pStyle w:val="SaHint"/>
            </w:pPr>
            <w:r>
              <w:t xml:space="preserve">Reconnaît avoir reçu les équipements, la consigne et la formation</w:t>
            </w:r>
          </w:p>
        </w:tc>
        <w:tc>
          <w:tcPr>
            <w:tcW w:type="dxa" w:w="4819"/>
            <w:tcBorders>
              <w:top w:val="none" w:color="auto" w:sz="0"/>
              <w:left w:val="none" w:color="auto" w:sz="0"/>
              <w:bottom w:val="none" w:color="auto" w:sz="0"/>
              <w:right w:val="none" w:color="auto" w:sz="0"/>
            </w:tcBorders>
            <w:tcMar>
              <w:top w:type="dxa" w:w="80"/>
              <w:left w:type="dxa" w:w="0"/>
              <w:bottom w:type="dxa" w:w="40"/>
              <w:right w:type="dxa" w:w="160"/>
            </w:tcMar>
          </w:tcPr>
          <w:p>
            <w:pPr>
              <w:pStyle w:val="SaCell"/>
            </w:pPr>
            <w:r>
              <w:rPr>
                <w:b/>
                <w:bCs/>
              </w:rPr>
              <w:t xml:space="preserve">Le responsable qui remet</w:t>
            </w:r>
          </w:p>
          <w:p>
            <w:pPr>
              <w:pStyle w:val="SaHint"/>
            </w:pPr>
            <w:r>
              <w:t xml:space="preserve">Nom, fonction, date</w:t>
            </w:r>
          </w:p>
        </w:tc>
      </w:tr>
      <w:tr>
        <w:trPr>
          <w:trHeight w:val="1100" w:hRule="atLeast"/>
        </w:trPr>
        <w:tc>
          <w:tcPr>
            <w:tcW w:type="dxa" w:w="481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481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bl>
    <w:p>
      <w:pPr>
        <w:pStyle w:val="SaChrome"/>
      </w:pPr>
    </w:p>
    <w:p>
      <w:pPr>
        <w:pStyle w:val="SaH2"/>
      </w:pPr>
      <w:r>
        <w:t xml:space="preserve">Sources</w:t>
      </w:r>
    </w:p>
    <w:p>
      <w:pPr>
        <w:pStyle w:val="ListParagraph"/>
        <w:pStyle w:val="SaNote"/>
        <w:numPr>
          <w:ilvl w:val="0"/>
          <w:numId w:val="1"/>
        </w:numPr>
      </w:pPr>
      <w:r>
        <w:t xml:space="preserve">Code du travail, article R. 4321-4 — mise à disposition des EPI — </w:t>
      </w:r>
      <w:hyperlink w:history="1" r:id="rIdugchjpcpjjb64ofrx4i-0">
        <w:r>
          <w:rPr>
            <w:color w:val="005674"/>
            <w:u w:val="single"/>
          </w:rPr>
          <w:t xml:space="preserve">https://www.legifrance.gouv.fr/codes/article_lc/LEGIARTI000018531553</w:t>
        </w:r>
      </w:hyperlink>
    </w:p>
    <w:p>
      <w:pPr>
        <w:pStyle w:val="ListParagraph"/>
        <w:pStyle w:val="SaNote"/>
        <w:numPr>
          <w:ilvl w:val="0"/>
          <w:numId w:val="1"/>
        </w:numPr>
      </w:pPr>
      <w:r>
        <w:t xml:space="preserve">Code du travail, article R. 4323-95 — fourniture gratuite et entretien — </w:t>
      </w:r>
      <w:hyperlink w:history="1" r:id="rIdqekna5ayf5xr8h89_usdt">
        <w:r>
          <w:rPr>
            <w:color w:val="005674"/>
            <w:u w:val="single"/>
          </w:rPr>
          <w:t xml:space="preserve">https://www.legifrance.gouv.fr/codes/article_lc/LEGIARTI000018531306</w:t>
        </w:r>
      </w:hyperlink>
    </w:p>
    <w:p>
      <w:pPr>
        <w:pStyle w:val="ListParagraph"/>
        <w:pStyle w:val="SaNote"/>
        <w:numPr>
          <w:ilvl w:val="0"/>
          <w:numId w:val="1"/>
        </w:numPr>
      </w:pPr>
      <w:r>
        <w:t xml:space="preserve">Code du travail, article R. 4323-99 — vérifications générales périodiques — </w:t>
      </w:r>
      <w:hyperlink w:history="1" r:id="rIdz97ta7ypds1d5okqjne6s">
        <w:r>
          <w:rPr>
            <w:color w:val="005674"/>
            <w:u w:val="single"/>
          </w:rPr>
          <w:t xml:space="preserve">https://www.legifrance.gouv.fr/codes/article_lc/LEGIARTI000018531296</w:t>
        </w:r>
      </w:hyperlink>
    </w:p>
    <w:p>
      <w:pPr>
        <w:pStyle w:val="ListParagraph"/>
        <w:pStyle w:val="SaNote"/>
        <w:numPr>
          <w:ilvl w:val="0"/>
          <w:numId w:val="1"/>
        </w:numPr>
      </w:pPr>
      <w:r>
        <w:t xml:space="preserve">Arrêté du 19 mars 1993 — liste des EPI soumis à VGP — </w:t>
      </w:r>
      <w:hyperlink w:history="1" r:id="rId9kpsmrejx1itpzej-dsrv">
        <w:r>
          <w:rPr>
            <w:color w:val="005674"/>
            <w:u w:val="single"/>
          </w:rPr>
          <w:t xml:space="preserve">https://www.legifrance.gouv.fr/jorf/id/JORFTEXT000000730566</w:t>
        </w:r>
      </w:hyperlink>
    </w:p>
    <w:p>
      <w:pPr>
        <w:pStyle w:val="SaNote"/>
      </w:pPr>
      <w:r>
        <w:rPr>
          <w:b w:val="false"/>
          <w:bCs w:val="false"/>
        </w:rPr>
        <w:t xml:space="preserve">Contenu relu le 2026-09-08 · La page de ce modèle — https://safeally.net/fr-fr/modeles/fiche-de-dotation-epi/</w:t>
      </w:r>
    </w:p>
    <w:p>
      <w:pPr>
        <w:pStyle w:val="SaNote"/>
      </w:pPr>
      <w:r>
        <w:rPr>
          <w:b w:val="false"/>
          <w:bCs w:val="false"/>
        </w:rPr>
        <w:t xml:space="preserve">SafeAlly — safeally.net · gratuit, sans compte, document modifiable</w:t>
      </w:r>
    </w:p>
    <w:sectPr>
      <w:headerReference w:type="default" r:id="rId7"/>
      <w:footerReference w:type="default" r:id="rId8"/>
      <w:pgSz w:w="11906" w:h="16838" w:orient="portrait"/>
      <w:pgMar w:top="1134" w:right="1134" w:bottom="1134" w:left="1134" w:header="680" w:footer="68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SaChrome"/>
      <w:pBdr>
        <w:top w:val="single" w:color="BDE1F3" w:sz="4"/>
      </w:pBdr>
      <w:tabs>
        <w:tab w:val="right" w:pos="9638"/>
      </w:tabs>
    </w:pPr>
    <w:r>
      <w:t xml:space="preserve">Contenu relu le 2026-09-08 · safeally.net</w:t>
    </w:r>
    <w:r>
      <w:t xml:space="preserve">	</w:t>
      <w:t xml:space="preserve">Page </w:t>
      <w:fldChar w:fldCharType="begin"/>
      <w:instrText xml:space="preserve">PAGE</w:instrText>
      <w:fldChar w:fldCharType="separate"/>
      <w:fldChar w:fldCharType="end"/>
    </w:r>
    <w:r>
      <w:t xml:space="preserve"> sur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SaChrome"/>
      <w:pBdr>
        <w:bottom w:val="single" w:color="BDE1F3" w:sz="4"/>
      </w:pBdr>
    </w:pPr>
    <w:r>
      <w:t xml:space="preserve">Dotation EPI — ……………………………………………… — fiche n°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21D28"/>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aTitle">
    <w:name w:val="SafeAlly Title"/>
    <w:basedOn w:val="Normal"/>
    <w:next w:val="SaSubtitle"/>
    <w:qFormat/>
    <w:pPr>
      <w:spacing w:after="60"/>
    </w:pPr>
    <w:rPr>
      <w:b/>
      <w:bCs/>
      <w:color w:val="014259"/>
      <w:sz w:val="32"/>
      <w:szCs w:val="32"/>
    </w:rPr>
  </w:style>
  <w:style w:type="paragraph" w:styleId="SaSubtitle">
    <w:name w:val="SafeAlly Subtitle"/>
    <w:basedOn w:val="Normal"/>
    <w:next w:val="SaBody"/>
    <w:qFormat/>
    <w:pPr>
      <w:pBdr>
        <w:bottom w:val="single" w:color="FFC250" w:sz="12"/>
      </w:pBdr>
      <w:spacing w:after="240"/>
    </w:pPr>
    <w:rPr>
      <w:color w:val="005674"/>
      <w:sz w:val="20"/>
      <w:szCs w:val="20"/>
    </w:rPr>
  </w:style>
  <w:style w:type="paragraph" w:styleId="SaH1">
    <w:name w:val="SafeAlly Heading 1"/>
    <w:basedOn w:val="Normal"/>
    <w:next w:val="SaBody"/>
    <w:qFormat/>
    <w:pPr>
      <w:keepNext/>
      <w:pBdr>
        <w:bottom w:val="single" w:color="BDE1F3" w:sz="6"/>
      </w:pBdr>
      <w:spacing w:after="40" w:before="320"/>
    </w:pPr>
    <w:rPr>
      <w:b/>
      <w:bCs/>
      <w:color w:val="014259"/>
      <w:sz w:val="24"/>
      <w:szCs w:val="24"/>
    </w:rPr>
  </w:style>
  <w:style w:type="paragraph" w:styleId="SaH2">
    <w:name w:val="SafeAlly Heading 2"/>
    <w:basedOn w:val="Normal"/>
    <w:next w:val="SaBody"/>
    <w:qFormat/>
    <w:pPr>
      <w:keepNext/>
      <w:spacing w:after="40" w:before="240"/>
    </w:pPr>
    <w:rPr>
      <w:b/>
      <w:bCs/>
      <w:color w:val="005674"/>
      <w:sz w:val="21"/>
      <w:szCs w:val="21"/>
    </w:rPr>
  </w:style>
  <w:style w:type="paragraph" w:styleId="SaBody">
    <w:name w:val="SafeAlly Body"/>
    <w:basedOn w:val="Normal"/>
    <w:next w:val="SaBody"/>
    <w:qFormat/>
    <w:pPr>
      <w:spacing w:after="120" w:line="264"/>
    </w:pPr>
    <w:rPr>
      <w:color w:val="021D28"/>
      <w:sz w:val="20"/>
      <w:szCs w:val="20"/>
    </w:rPr>
  </w:style>
  <w:style w:type="paragraph" w:styleId="SaBasis">
    <w:name w:val="SafeAlly Basis"/>
    <w:basedOn w:val="Normal"/>
    <w:next w:val="SaBody"/>
    <w:pPr>
      <w:keepNext/>
      <w:spacing w:after="140"/>
    </w:pPr>
    <w:rPr>
      <w:i/>
      <w:iCs/>
      <w:color w:val="005674"/>
      <w:sz w:val="16"/>
      <w:szCs w:val="16"/>
    </w:rPr>
  </w:style>
  <w:style w:type="paragraph" w:styleId="SaNote">
    <w:name w:val="SafeAlly Note"/>
    <w:basedOn w:val="Normal"/>
    <w:next w:val="SaBody"/>
    <w:pPr>
      <w:spacing w:after="160"/>
    </w:pPr>
    <w:rPr>
      <w:color w:val="053143"/>
      <w:sz w:val="16"/>
      <w:szCs w:val="16"/>
    </w:rPr>
  </w:style>
  <w:style w:type="paragraph" w:styleId="SaCell">
    <w:name w:val="SafeAlly Cell"/>
    <w:basedOn w:val="Normal"/>
    <w:next w:val="SaCell"/>
    <w:pPr>
      <w:spacing w:after="40" w:before="40"/>
    </w:pPr>
    <w:rPr>
      <w:color w:val="021D28"/>
      <w:sz w:val="19"/>
      <w:szCs w:val="19"/>
    </w:rPr>
  </w:style>
  <w:style w:type="paragraph" w:styleId="SaCellHeader">
    <w:name w:val="SafeAlly Cell Header"/>
    <w:basedOn w:val="Normal"/>
    <w:next w:val="SaCell"/>
    <w:pPr>
      <w:spacing w:after="60" w:before="60"/>
    </w:pPr>
    <w:rPr>
      <w:b/>
      <w:bCs/>
      <w:color w:val="FFFFFF"/>
      <w:sz w:val="18"/>
      <w:szCs w:val="18"/>
    </w:rPr>
  </w:style>
  <w:style w:type="paragraph" w:styleId="SaHint">
    <w:name w:val="SafeAlly Hint"/>
    <w:basedOn w:val="Normal"/>
    <w:next w:val="SaCell"/>
    <w:pPr>
      <w:spacing w:after="40" w:before="40"/>
    </w:pPr>
    <w:rPr>
      <w:i/>
      <w:iCs/>
      <w:color w:val="005674"/>
      <w:sz w:val="17"/>
      <w:szCs w:val="17"/>
    </w:rPr>
  </w:style>
  <w:style w:type="paragraph" w:styleId="SaChrome">
    <w:name w:val="SafeAlly Chrome"/>
    <w:basedOn w:val="Normal"/>
    <w:next w:val="SaChrome"/>
    <w:pPr>
      <w:spacing w:after="0"/>
    </w:pPr>
    <w:rPr>
      <w:color w:val="005674"/>
      <w:sz w:val="15"/>
      <w:szCs w:val="1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ugchjpcpjjb64ofrx4i-0" Type="http://schemas.openxmlformats.org/officeDocument/2006/relationships/hyperlink" Target="https://www.legifrance.gouv.fr/codes/article_lc/LEGIARTI000018531553" TargetMode="External"/><Relationship Id="rIdqekna5ayf5xr8h89_usdt" Type="http://schemas.openxmlformats.org/officeDocument/2006/relationships/hyperlink" Target="https://www.legifrance.gouv.fr/codes/article_lc/LEGIARTI000018531306" TargetMode="External"/><Relationship Id="rIdz97ta7ypds1d5okqjne6s" Type="http://schemas.openxmlformats.org/officeDocument/2006/relationships/hyperlink" Target="https://www.legifrance.gouv.fr/codes/article_lc/LEGIARTI000018531296" TargetMode="External"/><Relationship Id="rId9kpsmrejx1itpzej-dsrv" Type="http://schemas.openxmlformats.org/officeDocument/2006/relationships/hyperlink" Target="https://www.legifrance.gouv.fr/jorf/id/JORFTEXT000000730566"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Fiche de dotation en équipements de protection individuelle</dc:title>
  <dc:subject>Fiche individuelle de dotation en EPI, à remplir et à signer — France. SafeAlly, safeally.net.</dc:subject>
  <dc:creator>SafeAlly — safeally.net</dc:creator>
  <dc:description>Fiche individuelle de dotation en EPI, à remplir et à signer — France. SafeAlly, safeally.net.</dc:description>
  <cp:lastModifiedBy>SafeAlly — safeally.net</cp:lastModifiedBy>
  <cp:revision>1</cp:revision>
  <dcterms:created xsi:type="dcterms:W3CDTF">2026-09-08T00:00:00.000Z</dcterms:created>
  <dcterms:modified xsi:type="dcterms:W3CDTF">2026-09-08T00:00:00.000Z</dcterms:modified>
</cp:coreProperties>
</file>

<file path=docProps/custom.xml><?xml version="1.0" encoding="utf-8"?>
<Properties xmlns="http://schemas.openxmlformats.org/officeDocument/2006/custom-properties" xmlns:vt="http://schemas.openxmlformats.org/officeDocument/2006/docPropsVTypes"/>
</file>