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SaTitle"/>
      </w:pPr>
      <w:r>
        <w:t xml:space="preserve">Scheda di consegna dei dispositivi di protezione individuale</w:t>
      </w:r>
    </w:p>
    <w:p>
      <w:pPr>
        <w:pStyle w:val="SaSubtitle"/>
      </w:pPr>
      <w:r>
        <w:t xml:space="preserve">Italia — D.Lgs. 81/2008, articoli 75 a 79</w:t>
      </w:r>
    </w:p>
    <w:tbl>
      <w:tblPr>
        <w:tblW w:type="dxa" w:w="9638"/>
        <w:tblBorders>
          <w:top w:val="single" w:color="FFC250" w:sz="8"/>
          <w:left w:val="single" w:color="FFC250" w:sz="8"/>
          <w:bottom w:val="single" w:color="FFC250" w:sz="8"/>
          <w:right w:val="single" w:color="FFC250" w:sz="8"/>
          <w:insideH w:val="none" w:color="auto" w:sz="0"/>
          <w:insideV w:val="none" w:color="auto" w:sz="0"/>
        </w:tblBorders>
      </w:tblPr>
      <w:tblGrid>
        <w:gridCol w:w="9638"/>
      </w:tblGrid>
      <w:tr>
        <w:tc>
          <w:tcPr>
            <w:tcW w:type="dxa" w:w="9638"/>
            <w:shd w:fill="FFEED3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Che cosa non è questa scheda</w:t>
            </w:r>
          </w:p>
          <w:p>
            <w:pPr>
              <w:pStyle w:val="SaCell"/>
            </w:pPr>
            <w:r>
              <w:t xml:space="preserve">Non è una liberatoria. La firma attesta la consegna e l'informazione ricevuta; non trasferisce nulla al lavoratore. I DPI si usano quando i rischi non possono essere evitati o ridotti con altri mezzi (art. 75), quindi un DPI consegnato contro firma su una lavorazione che si poteva bonificare resta un inadempimento. Nessuna parte di questo testo è un parere legale.</w:t>
            </w:r>
          </w:p>
        </w:tc>
      </w:tr>
    </w:tbl>
    <w:p>
      <w:pPr>
        <w:pStyle w:val="SaChrome"/>
      </w:pPr>
    </w:p>
    <w:p>
      <w:pPr>
        <w:pStyle w:val="SaBody"/>
      </w:pPr>
      <w:r>
        <w:rPr>
          <w:b w:val="false"/>
          <w:bCs w:val="false"/>
        </w:rPr>
        <w:t xml:space="preserve">Le aree grigie sono da compilare. Ciò che è fra parentesi quadre è un esempio: da sostituire. Il documento è modificabile: tolga ciò che non la riguarda, ma legga prima la nota di ogni sezione.</w:t>
      </w:r>
    </w:p>
    <w:p>
      <w:pPr>
        <w:pStyle w:val="SaH1"/>
      </w:pPr>
      <w:r>
        <w:t xml:space="preserve">1. Lavoratore e mansione</w:t>
      </w:r>
    </w:p>
    <w:p>
      <w:pPr>
        <w:pStyle w:val="SaBasis"/>
      </w:pPr>
      <w:r>
        <w:t xml:space="preserve">— prassi di settore, nulla lo impone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505"/>
        <w:gridCol w:w="2313"/>
        <w:gridCol w:w="2505"/>
        <w:gridCol w:w="2315"/>
      </w:tblGrid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Nome e cognome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Matricola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Mansione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Unità produttiva o reparto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In mansione dal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Preposto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Mansione del DVR corrispondente</w:t>
            </w:r>
          </w:p>
        </w:tc>
        <w:tc>
          <w:tcPr>
            <w:tcW w:type="dxa" w:w="7133"/>
            <w:gridSpan w:val="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[collega la scheda alla valutazione dei rischi]</w:t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2. Rischi non evitabili con altri mezzi</w:t>
      </w:r>
    </w:p>
    <w:p>
      <w:pPr>
        <w:pStyle w:val="SaBasis"/>
      </w:pPr>
      <w:r>
        <w:t xml:space="preserve">— imposto dalla normativa</w:t>
      </w:r>
    </w:p>
    <w:p>
      <w:pPr>
        <w:pStyle w:val="SaBody"/>
      </w:pPr>
      <w:r>
        <w:rPr>
          <w:b w:val="false"/>
          <w:bCs w:val="false"/>
        </w:rPr>
        <w:t xml:space="preserve">L'art. 77 comma 1 lettera a) chiede al datore di lavoro, ai fini della scelta dei DPI, di effettuare «l'analisi e la valutazione dei rischi che non possono essere evitati con altri mezzi». La lettera b) aggiunge una cosa che quasi nessuna scheda riporta: individuare le caratteristiche necessarie «tenendo conto delle eventuali ulteriori fonti di rischio rappresentate dagli stessi DPI».</w:t>
      </w:r>
    </w:p>
    <w:p>
      <w:pPr>
        <w:pStyle w:val="SaBody"/>
      </w:pPr>
      <w:r>
        <w:rPr>
          <w:b/>
          <w:bCs/>
        </w:rPr>
        <w:t xml:space="preserve">Il DPI può essere esso stesso una fonte di rischio: campo visivo ridotto, stress termico, impaccio nei movimenti. L'ultima colonna serve a scriverlo.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665"/>
        <w:gridCol w:w="1845"/>
        <w:gridCol w:w="2460"/>
        <w:gridCol w:w="2668"/>
      </w:tblGrid>
      <w:tr>
        <w:trPr>
          <w:tblHeader/>
        </w:trPr>
        <w:tc>
          <w:tcPr>
            <w:tcW w:type="dxa" w:w="2665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Rischio dal DVR</w:t>
            </w:r>
          </w:p>
        </w:tc>
        <w:tc>
          <w:tcPr>
            <w:tcW w:type="dxa" w:w="1845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Parte del corpo esposta</w:t>
            </w:r>
          </w:p>
        </w:tc>
        <w:tc>
          <w:tcPr>
            <w:tcW w:type="dxa" w:w="2460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Misure tecniche già adottate</w:t>
            </w:r>
          </w:p>
        </w:tc>
        <w:tc>
          <w:tcPr>
            <w:tcW w:type="dxa" w:w="2668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Ulteriori rischi introdotti dal DPI</w:t>
            </w:r>
          </w:p>
        </w:tc>
      </w:tr>
      <w:tr>
        <w:trPr>
          <w:trHeight w:val="460" w:hRule="atLeast"/>
        </w:trPr>
        <w:tc>
          <w:tcPr>
            <w:tcW w:type="dxa" w:w="266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8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4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6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6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8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4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6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6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8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4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6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6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8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4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6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6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8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4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6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6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8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4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6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3. DPI consegnati</w:t>
      </w:r>
    </w:p>
    <w:p>
      <w:pPr>
        <w:pStyle w:val="SaBasis"/>
      </w:pPr>
      <w:r>
        <w:t xml:space="preserve">— imposto dalla normativa</w:t>
      </w:r>
    </w:p>
    <w:p>
      <w:pPr>
        <w:pStyle w:val="SaBody"/>
      </w:pPr>
      <w:r>
        <w:rPr>
          <w:b w:val="false"/>
          <w:bCs w:val="false"/>
        </w:rPr>
        <w:t xml:space="preserve">L'art. 77 comma 4 lettera d) impone di destinare ogni DPI a un uso personale e, qualora le circostanze richiedano l'uso dello stesso DPI da parte di più persone, di prendere misure adeguate perché non ponga problemi sanitari e igienici. La lettera a) mette a carico del datore di lavoro la manutenzione, le riparazioni e le sostituzioni necessarie — e precisa che l'obbligo vale anche per gli indumenti di lavoro che assumono la caratteristica di DPI, individuati attraverso la valutazione dei rischi.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867"/>
        <w:gridCol w:w="1734"/>
        <w:gridCol w:w="1734"/>
        <w:gridCol w:w="578"/>
        <w:gridCol w:w="771"/>
        <w:gridCol w:w="578"/>
        <w:gridCol w:w="1156"/>
        <w:gridCol w:w="963"/>
        <w:gridCol w:w="1257"/>
      </w:tblGrid>
      <w:tr>
        <w:trPr>
          <w:tblHeader/>
        </w:trPr>
        <w:tc>
          <w:tcPr>
            <w:tcW w:type="dxa" w:w="867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Data</w:t>
            </w:r>
          </w:p>
        </w:tc>
        <w:tc>
          <w:tcPr>
            <w:tcW w:type="dxa" w:w="1734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DPI</w:t>
            </w:r>
          </w:p>
        </w:tc>
        <w:tc>
          <w:tcPr>
            <w:tcW w:type="dxa" w:w="1734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Marca, modello, norma</w:t>
            </w:r>
          </w:p>
        </w:tc>
        <w:tc>
          <w:tcPr>
            <w:tcW w:type="dxa" w:w="578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Cat.</w:t>
            </w:r>
          </w:p>
        </w:tc>
        <w:tc>
          <w:tcPr>
            <w:tcW w:type="dxa" w:w="771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Taglia</w:t>
            </w:r>
          </w:p>
        </w:tc>
        <w:tc>
          <w:tcPr>
            <w:tcW w:type="dxa" w:w="578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Q.tà</w:t>
            </w:r>
          </w:p>
        </w:tc>
        <w:tc>
          <w:tcPr>
            <w:tcW w:type="dxa" w:w="1156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Matricola o lotto</w:t>
            </w:r>
          </w:p>
        </w:tc>
        <w:tc>
          <w:tcPr>
            <w:tcW w:type="dxa" w:w="963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Scadenza</w:t>
            </w:r>
          </w:p>
        </w:tc>
        <w:tc>
          <w:tcPr>
            <w:tcW w:type="dxa" w:w="1257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Firma</w:t>
            </w:r>
          </w:p>
        </w:tc>
      </w:tr>
      <w:tr>
        <w:trPr>
          <w:trHeight w:val="460" w:hRule="atLeast"/>
        </w:trPr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77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5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77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5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77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5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77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5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77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5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77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5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77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5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77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5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77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5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77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5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77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5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77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5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77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5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77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5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Note"/>
      </w:pPr>
      <w:r>
        <w:t xml:space="preserve">La colonna «Cat.» è la categoria ai sensi del D.Lgs. 475/1992, e non è un dettaglio anagrafico: dalla terza categoria l'addestramento diventa indispensabile (art. 77 comma 5). Se la colonna è vuota, la sezione 5 non è verificabile.</w:t>
      </w:r>
    </w:p>
    <w:p>
      <w:pPr>
        <w:pStyle w:val="SaH1"/>
      </w:pPr>
      <w:r>
        <w:t xml:space="preserve">4. Condizioni e durata d'uso</w:t>
      </w:r>
    </w:p>
    <w:p>
      <w:pPr>
        <w:pStyle w:val="SaBasis"/>
      </w:pPr>
      <w:r>
        <w:t xml:space="preserve">— imposto dalla normativa</w:t>
      </w:r>
    </w:p>
    <w:p>
      <w:pPr>
        <w:pStyle w:val="SaBody"/>
      </w:pPr>
      <w:r>
        <w:rPr>
          <w:b w:val="false"/>
          <w:bCs w:val="false"/>
        </w:rPr>
        <w:t xml:space="preserve">L'art. 77 comma 2 chiede di individuare le condizioni in cui un DPI deve essere usato, «specie per quanto riguarda la durata dell'uso», in funzione di quattro elementi: entità del rischio, frequenza dell'esposizione, caratteristiche del posto di lavoro di ciascun lavoratore, e prestazioni del DPI.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190"/>
        <w:gridCol w:w="2409"/>
        <w:gridCol w:w="2409"/>
        <w:gridCol w:w="2630"/>
      </w:tblGrid>
      <w:tr>
        <w:trPr>
          <w:tblHeader/>
        </w:trPr>
        <w:tc>
          <w:tcPr>
            <w:tcW w:type="dxa" w:w="2190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DPI</w:t>
            </w:r>
          </w:p>
        </w:tc>
        <w:tc>
          <w:tcPr>
            <w:tcW w:type="dxa" w:w="2409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Quando va indossato</w:t>
            </w:r>
          </w:p>
        </w:tc>
        <w:tc>
          <w:tcPr>
            <w:tcW w:type="dxa" w:w="2409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Durata massima d'uso continuativo</w:t>
            </w:r>
          </w:p>
        </w:tc>
        <w:tc>
          <w:tcPr>
            <w:tcW w:type="dxa" w:w="2630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Su quale dei quattro elementi si basa</w:t>
            </w:r>
          </w:p>
        </w:tc>
      </w:tr>
      <w:tr>
        <w:trPr>
          <w:trHeight w:val="460" w:hRule="atLeast"/>
        </w:trPr>
        <w:tc>
          <w:tcPr>
            <w:tcW w:type="dxa" w:w="219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40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40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3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19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40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40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3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19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40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40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3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19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40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40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3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19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40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40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3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19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40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40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3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19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40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40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3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5. Informazione, formazione e addestramento</w:t>
      </w:r>
    </w:p>
    <w:p>
      <w:pPr>
        <w:pStyle w:val="SaBasis"/>
      </w:pPr>
      <w:r>
        <w:t xml:space="preserve">— imposto dalla normativa</w:t>
      </w:r>
    </w:p>
    <w:p>
      <w:pPr>
        <w:pStyle w:val="SaBody"/>
      </w:pPr>
      <w:r>
        <w:rPr>
          <w:b w:val="false"/>
          <w:bCs w:val="false"/>
        </w:rPr>
        <w:t xml:space="preserve">Tre obblighi distinti, e il terzo non è facoltativo. L'art. 77 comma 4 lettera e) impone di informare preliminarmente il lavoratore dei rischi dai quali il DPI lo protegge; la lettera h) di assicurare una formazione adeguata e organizzare, se necessario, uno specifico addestramento sull'uso corretto e l'utilizzo pratico.</w:t>
      </w:r>
    </w:p>
    <w:p>
      <w:pPr>
        <w:pStyle w:val="SaBody"/>
      </w:pPr>
      <w:r>
        <w:rPr>
          <w:b/>
          <w:bCs/>
        </w:rPr>
        <w:t xml:space="preserve">E il comma 5: «In ogni caso l'addestramento è indispensabile» per ogni DPI di terza categoria e per i dispositivi di protezione dell'udito. Per i tappi auricolari e per l'imbracatura anticaduta non c'è margine di valutazione.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734"/>
        <w:gridCol w:w="578"/>
        <w:gridCol w:w="1542"/>
        <w:gridCol w:w="1349"/>
        <w:gridCol w:w="1734"/>
        <w:gridCol w:w="963"/>
        <w:gridCol w:w="1738"/>
      </w:tblGrid>
      <w:tr>
        <w:trPr>
          <w:tblHeader/>
        </w:trPr>
        <w:tc>
          <w:tcPr>
            <w:tcW w:type="dxa" w:w="1734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DPI</w:t>
            </w:r>
          </w:p>
        </w:tc>
        <w:tc>
          <w:tcPr>
            <w:tcW w:type="dxa" w:w="578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Cat.</w:t>
            </w:r>
          </w:p>
        </w:tc>
        <w:tc>
          <w:tcPr>
            <w:tcW w:type="dxa" w:w="1542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Informazione preliminare</w:t>
            </w:r>
          </w:p>
        </w:tc>
        <w:tc>
          <w:tcPr>
            <w:tcW w:type="dxa" w:w="1349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Formazione</w:t>
            </w:r>
          </w:p>
        </w:tc>
        <w:tc>
          <w:tcPr>
            <w:tcW w:type="dxa" w:w="1734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Addestramento pratico</w:t>
            </w:r>
          </w:p>
        </w:tc>
        <w:tc>
          <w:tcPr>
            <w:tcW w:type="dxa" w:w="963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Data</w:t>
            </w:r>
          </w:p>
        </w:tc>
        <w:tc>
          <w:tcPr>
            <w:tcW w:type="dxa" w:w="1738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A cura di</w:t>
            </w:r>
          </w:p>
        </w:tc>
      </w:tr>
      <w:tr>
        <w:trPr>
          <w:trHeight w:val="460" w:hRule="atLeast"/>
        </w:trPr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5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Note"/>
      </w:pPr>
      <w:r>
        <w:t xml:space="preserve">La lettera c) del comma 4 chiede istruzioni «comprensibili per i lavoratori», e la lettera f) di rendere disponibili in azienda o nell'unità produttiva informazioni adeguate su ogni DPI. Comprensibili significa nella lingua di chi le deve seguire.</w:t>
      </w:r>
    </w:p>
    <w:p>
      <w:pPr>
        <w:pStyle w:val="SaH1"/>
      </w:pPr>
      <w:r>
        <w:t xml:space="preserve">6. Riconsegna e deposito</w:t>
      </w:r>
    </w:p>
    <w:p>
      <w:pPr>
        <w:pStyle w:val="SaBasis"/>
      </w:pPr>
      <w:r>
        <w:t xml:space="preserve">— imposto dalla normativa</w:t>
      </w:r>
    </w:p>
    <w:p>
      <w:pPr>
        <w:pStyle w:val="SaBody"/>
      </w:pPr>
      <w:r>
        <w:rPr>
          <w:b w:val="false"/>
          <w:bCs w:val="false"/>
        </w:rPr>
        <w:t xml:space="preserve">Questa sezione esiste per una lettera che quasi nessuna scheda in circolazione riporta. Art. 77 comma 4 lettera g): il datore di lavoro «stabilisce le procedure aziendali da seguire, al termine dell'utilizzo, per la riconsegna e il deposito dei DPI».</w:t>
      </w:r>
    </w:p>
    <w:p>
      <w:pPr>
        <w:pStyle w:val="SaBody"/>
      </w:pPr>
      <w:r>
        <w:rPr>
          <w:b/>
          <w:bCs/>
        </w:rPr>
        <w:t xml:space="preserve">È un obbligo di procedura, non di buona volontà. E risolve in un colpo la domanda che nessun registro sa altrimenti risolvere: dove si trova ora l'imbracatura consegnata tre anni fa.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891"/>
        <w:gridCol w:w="6747"/>
      </w:tblGrid>
      <w:tr>
        <w:tc>
          <w:tcPr>
            <w:tcW w:type="dxa" w:w="2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Procedura aziendale di riconsegna</w:t>
            </w:r>
          </w:p>
        </w:tc>
        <w:tc>
          <w:tcPr>
            <w:tcW w:type="dxa" w:w="674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[a chi si riconsegna, con quale modulo, entro quando]</w:t>
            </w:r>
          </w:p>
        </w:tc>
      </w:tr>
      <w:tr>
        <w:tc>
          <w:tcPr>
            <w:tcW w:type="dxa" w:w="2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Luogo di deposito dei DPI al termine dell'utilizzo</w:t>
            </w:r>
          </w:p>
        </w:tc>
        <w:tc>
          <w:tcPr>
            <w:tcW w:type="dxa" w:w="674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[e chi ne è responsabile]</w:t>
            </w:r>
          </w:p>
        </w:tc>
      </w:tr>
    </w:tbl>
    <w:p>
      <w:pPr>
        <w:pStyle w:val="SaChrome"/>
      </w:pP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963"/>
        <w:gridCol w:w="1734"/>
        <w:gridCol w:w="2891"/>
        <w:gridCol w:w="1927"/>
        <w:gridCol w:w="2123"/>
      </w:tblGrid>
      <w:tr>
        <w:trPr>
          <w:tblHeader/>
        </w:trPr>
        <w:tc>
          <w:tcPr>
            <w:tcW w:type="dxa" w:w="963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Data</w:t>
            </w:r>
          </w:p>
        </w:tc>
        <w:tc>
          <w:tcPr>
            <w:tcW w:type="dxa" w:w="1734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DPI</w:t>
            </w:r>
          </w:p>
        </w:tc>
        <w:tc>
          <w:tcPr>
            <w:tcW w:type="dxa" w:w="2891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Motivo: usura · difetto · smarrimento · scadenza · cambio mansione · cessazione</w:t>
            </w:r>
          </w:p>
        </w:tc>
        <w:tc>
          <w:tcPr>
            <w:tcW w:type="dxa" w:w="1927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Sostituito con</w:t>
            </w:r>
          </w:p>
        </w:tc>
        <w:tc>
          <w:tcPr>
            <w:tcW w:type="dxa" w:w="2123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Firma</w:t>
            </w:r>
          </w:p>
        </w:tc>
      </w:tr>
      <w:tr>
        <w:trPr>
          <w:trHeight w:val="460" w:hRule="atLeast"/>
        </w:trPr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7. Firme</w:t>
      </w:r>
    </w:p>
    <w:p>
      <w:pPr>
        <w:pStyle w:val="SaBasis"/>
      </w:pPr>
      <w:r>
        <w:t xml:space="preserve">— prassi di settore, nulla lo impone</w:t>
      </w:r>
    </w:p>
    <w:p>
      <w:pPr>
        <w:pStyle w:val="SaBody"/>
      </w:pPr>
      <w:r>
        <w:rPr>
          <w:b w:val="false"/>
          <w:bCs w:val="false"/>
        </w:rPr>
        <w:t xml:space="preserve">La firma attesta la consegna, l'informazione e l'addestramento ricevuti. Non è un'accettazione del rischio e non è una liberatoria: la responsabilità resta del datore di lavoro.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Il lavoratore</w:t>
            </w:r>
          </w:p>
          <w:p>
            <w:pPr>
              <w:pStyle w:val="SaHint"/>
            </w:pPr>
            <w:r>
              <w:t xml:space="preserve">Dichiara di aver ricevuto i DPI, le istruzioni e l'addestramento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Chi consegna</w:t>
            </w:r>
          </w:p>
          <w:p>
            <w:pPr>
              <w:pStyle w:val="SaHint"/>
            </w:pPr>
            <w:r>
              <w:t xml:space="preserve">Nome, ruolo, data</w:t>
            </w:r>
          </w:p>
        </w:tc>
      </w:tr>
      <w:tr>
        <w:trPr>
          <w:trHeight w:val="1100" w:hRule="atLeast"/>
        </w:trPr>
        <w:tc>
          <w:tcPr>
            <w:tcW w:type="dxa" w:w="481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481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pPr>
        <w:pStyle w:val="SaH2"/>
      </w:pPr>
      <w:r>
        <w:t xml:space="preserve">Fonti</w:t>
      </w:r>
    </w:p>
    <w:p>
      <w:pPr>
        <w:pStyle w:val="ListParagraph"/>
        <w:pStyle w:val="SaNote"/>
        <w:numPr>
          <w:ilvl w:val="0"/>
          <w:numId w:val="1"/>
        </w:numPr>
      </w:pPr>
      <w:r>
        <w:t xml:space="preserve">D.Lgs. 81/2008, art. 77 — obblighi del datore di lavoro sui DPI — </w:t>
      </w:r>
      <w:hyperlink w:history="1" r:id="rIdugchjpcpjjb64ofrx4i-0">
        <w:r>
          <w:rPr>
            <w:color w:val="005674"/>
            <w:u w:val="single"/>
          </w:rPr>
          <w:t xml:space="preserve">https://www.normattiva.it/uri-res/N2Ls?urn:nir:stato:decreto.legislativo:2008-04-09;81~art77</w:t>
        </w:r>
      </w:hyperlink>
    </w:p>
    <w:p>
      <w:pPr>
        <w:pStyle w:val="ListParagraph"/>
        <w:pStyle w:val="SaNote"/>
        <w:numPr>
          <w:ilvl w:val="0"/>
          <w:numId w:val="1"/>
        </w:numPr>
      </w:pPr>
      <w:r>
        <w:t xml:space="preserve">D.Lgs. 81/2008, art. 28 — la valutazione da cui i DPI derivano — </w:t>
      </w:r>
      <w:hyperlink w:history="1" r:id="rIdqekna5ayf5xr8h89_usdt">
        <w:r>
          <w:rPr>
            <w:color w:val="005674"/>
            <w:u w:val="single"/>
          </w:rPr>
          <w:t xml:space="preserve">https://www.normattiva.it/uri-res/N2Ls?urn:nir:stato:decreto.legislativo:2008-04-09;81~art28</w:t>
        </w:r>
      </w:hyperlink>
    </w:p>
    <w:p>
      <w:pPr>
        <w:pStyle w:val="SaNote"/>
      </w:pPr>
      <w:r>
        <w:rPr>
          <w:b w:val="false"/>
          <w:bCs w:val="false"/>
        </w:rPr>
        <w:t xml:space="preserve">Contenuto rivisto il 2026-09-08 · La pagina di questo modello — https://safeally.net/it-it/modelli/scheda-consegna-dpi/</w:t>
      </w:r>
    </w:p>
    <w:p>
      <w:pPr>
        <w:pStyle w:val="SaNote"/>
      </w:pPr>
      <w:r>
        <w:rPr>
          <w:b w:val="false"/>
          <w:bCs w:val="false"/>
        </w:rPr>
        <w:t xml:space="preserve">SafeAlly — safeally.net · gratuito, senza account, documento modificabile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6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aChrome"/>
      <w:pBdr>
        <w:top w:val="single" w:color="BDE1F3" w:sz="4"/>
      </w:pBdr>
      <w:tabs>
        <w:tab w:val="right" w:pos="9638"/>
      </w:tabs>
    </w:pPr>
    <w:r>
      <w:t xml:space="preserve">Contenuto rivisto il 2026-09-08 · safeally.net</w:t>
    </w:r>
    <w:r>
      <w:t xml:space="preserve">	</w:t>
      <w:t xml:space="preserve">Pagina </w:t>
      <w:fldChar w:fldCharType="begin"/>
      <w:instrText xml:space="preserve">PAGE</w:instrText>
      <w:fldChar w:fldCharType="separate"/>
      <w:fldChar w:fldCharType="end"/>
    </w:r>
    <w:r>
      <w:t xml:space="preserve"> di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SaChrome"/>
      <w:pBdr>
        <w:bottom w:val="single" w:color="BDE1F3" w:sz="4"/>
      </w:pBdr>
    </w:pPr>
    <w:r>
      <w:t xml:space="preserve">Consegna DPI — ……………………………………………… — scheda n. ……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21D28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aTitle">
    <w:name w:val="SafeAlly Title"/>
    <w:basedOn w:val="Normal"/>
    <w:next w:val="SaSubtitle"/>
    <w:qFormat/>
    <w:pPr>
      <w:spacing w:after="60"/>
    </w:pPr>
    <w:rPr>
      <w:b/>
      <w:bCs/>
      <w:color w:val="014259"/>
      <w:sz w:val="32"/>
      <w:szCs w:val="32"/>
    </w:rPr>
  </w:style>
  <w:style w:type="paragraph" w:styleId="SaSubtitle">
    <w:name w:val="SafeAlly Subtitle"/>
    <w:basedOn w:val="Normal"/>
    <w:next w:val="SaBody"/>
    <w:qFormat/>
    <w:pPr>
      <w:pBdr>
        <w:bottom w:val="single" w:color="FFC250" w:sz="12"/>
      </w:pBdr>
      <w:spacing w:after="240"/>
    </w:pPr>
    <w:rPr>
      <w:color w:val="005674"/>
      <w:sz w:val="20"/>
      <w:szCs w:val="20"/>
    </w:rPr>
  </w:style>
  <w:style w:type="paragraph" w:styleId="SaH1">
    <w:name w:val="SafeAlly Heading 1"/>
    <w:basedOn w:val="Normal"/>
    <w:next w:val="SaBody"/>
    <w:qFormat/>
    <w:pPr>
      <w:keepNext/>
      <w:pBdr>
        <w:bottom w:val="single" w:color="BDE1F3" w:sz="6"/>
      </w:pBdr>
      <w:spacing w:after="40" w:before="320"/>
    </w:pPr>
    <w:rPr>
      <w:b/>
      <w:bCs/>
      <w:color w:val="014259"/>
      <w:sz w:val="24"/>
      <w:szCs w:val="24"/>
    </w:rPr>
  </w:style>
  <w:style w:type="paragraph" w:styleId="SaH2">
    <w:name w:val="SafeAlly Heading 2"/>
    <w:basedOn w:val="Normal"/>
    <w:next w:val="SaBody"/>
    <w:qFormat/>
    <w:pPr>
      <w:keepNext/>
      <w:spacing w:after="40" w:before="240"/>
    </w:pPr>
    <w:rPr>
      <w:b/>
      <w:bCs/>
      <w:color w:val="005674"/>
      <w:sz w:val="21"/>
      <w:szCs w:val="21"/>
    </w:rPr>
  </w:style>
  <w:style w:type="paragraph" w:styleId="SaBody">
    <w:name w:val="SafeAlly Body"/>
    <w:basedOn w:val="Normal"/>
    <w:next w:val="SaBody"/>
    <w:qFormat/>
    <w:pPr>
      <w:spacing w:after="120" w:line="264"/>
    </w:pPr>
    <w:rPr>
      <w:color w:val="021D28"/>
      <w:sz w:val="20"/>
      <w:szCs w:val="20"/>
    </w:rPr>
  </w:style>
  <w:style w:type="paragraph" w:styleId="SaBasis">
    <w:name w:val="SafeAlly Basis"/>
    <w:basedOn w:val="Normal"/>
    <w:next w:val="SaBody"/>
    <w:pPr>
      <w:keepNext/>
      <w:spacing w:after="140"/>
    </w:pPr>
    <w:rPr>
      <w:i/>
      <w:iCs/>
      <w:color w:val="005674"/>
      <w:sz w:val="16"/>
      <w:szCs w:val="16"/>
    </w:rPr>
  </w:style>
  <w:style w:type="paragraph" w:styleId="SaNote">
    <w:name w:val="SafeAlly Note"/>
    <w:basedOn w:val="Normal"/>
    <w:next w:val="SaBody"/>
    <w:pPr>
      <w:spacing w:after="160"/>
    </w:pPr>
    <w:rPr>
      <w:color w:val="053143"/>
      <w:sz w:val="16"/>
      <w:szCs w:val="16"/>
    </w:rPr>
  </w:style>
  <w:style w:type="paragraph" w:styleId="SaCell">
    <w:name w:val="SafeAlly Cell"/>
    <w:basedOn w:val="Normal"/>
    <w:next w:val="SaCell"/>
    <w:pPr>
      <w:spacing w:after="40" w:before="40"/>
    </w:pPr>
    <w:rPr>
      <w:color w:val="021D28"/>
      <w:sz w:val="19"/>
      <w:szCs w:val="19"/>
    </w:rPr>
  </w:style>
  <w:style w:type="paragraph" w:styleId="SaCellHeader">
    <w:name w:val="SafeAlly Cell Header"/>
    <w:basedOn w:val="Normal"/>
    <w:next w:val="SaCell"/>
    <w:pPr>
      <w:spacing w:after="60" w:before="60"/>
    </w:pPr>
    <w:rPr>
      <w:b/>
      <w:bCs/>
      <w:color w:val="FFFFFF"/>
      <w:sz w:val="18"/>
      <w:szCs w:val="18"/>
    </w:rPr>
  </w:style>
  <w:style w:type="paragraph" w:styleId="SaHint">
    <w:name w:val="SafeAlly Hint"/>
    <w:basedOn w:val="Normal"/>
    <w:next w:val="SaCell"/>
    <w:pPr>
      <w:spacing w:after="40" w:before="40"/>
    </w:pPr>
    <w:rPr>
      <w:i/>
      <w:iCs/>
      <w:color w:val="005674"/>
      <w:sz w:val="17"/>
      <w:szCs w:val="17"/>
    </w:rPr>
  </w:style>
  <w:style w:type="paragraph" w:styleId="SaChrome">
    <w:name w:val="SafeAlly Chrome"/>
    <w:basedOn w:val="Normal"/>
    <w:next w:val="SaChrome"/>
    <w:pPr>
      <w:spacing w:after="0"/>
    </w:pPr>
    <w:rPr>
      <w:color w:val="005674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ugchjpcpjjb64ofrx4i-0" Type="http://schemas.openxmlformats.org/officeDocument/2006/relationships/hyperlink" Target="https://www.normattiva.it/uri-res/N2Ls?urn:nir:stato:decreto.legislativo:2008-04-09;81~art77" TargetMode="External"/><Relationship Id="rIdqekna5ayf5xr8h89_usdt" Type="http://schemas.openxmlformats.org/officeDocument/2006/relationships/hyperlink" Target="https://www.normattiva.it/uri-res/N2Ls?urn:nir:stato:decreto.legislativo:2008-04-09;81~art28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consegna dei dispositivi di protezione individuale</dc:title>
  <dc:subject>Scheda individuale di consegna dei DPI, da compilare e firmare — Italia. SafeAlly, safeally.net.</dc:subject>
  <dc:creator>SafeAlly — safeally.net</dc:creator>
  <dc:description>Scheda individuale di consegna dei DPI, da compilare e firmare — Italia. SafeAlly, safeally.net.</dc:description>
  <cp:lastModifiedBy>SafeAlly — safeally.net</cp:lastModifiedBy>
  <cp:revision>1</cp:revision>
  <dcterms:created xsi:type="dcterms:W3CDTF">2026-09-08T00:00:00.000Z</dcterms:created>
  <dcterms:modified xsi:type="dcterms:W3CDTF">2026-09-08T00:00:00.000Z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