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SaTitle"/>
      </w:pPr>
      <w:r>
        <w:t xml:space="preserve">Workplace inspection</w:t>
      </w:r>
    </w:p>
    <w:p>
      <w:pPr>
        <w:pStyle w:val="SaSubtitle"/>
      </w:pPr>
      <w:r>
        <w:t xml:space="preserve">Canada — field sheet. Ontario sets a monthly interval in statute; British Columbia sets a standard instead.</w:t>
      </w:r>
    </w:p>
    <w:tbl>
      <w:tblPr>
        <w:tblW w:type="dxa" w:w="9972"/>
        <w:tblBorders>
          <w:top w:val="single" w:color="FFC250" w:sz="8"/>
          <w:left w:val="single" w:color="FFC250" w:sz="8"/>
          <w:bottom w:val="single" w:color="FFC250" w:sz="8"/>
          <w:right w:val="single" w:color="FFC250" w:sz="8"/>
          <w:insideH w:val="none" w:color="auto" w:sz="0"/>
          <w:insideV w:val="none" w:color="auto" w:sz="0"/>
        </w:tblBorders>
      </w:tblPr>
      <w:tblGrid>
        <w:gridCol w:w="9972"/>
      </w:tblGrid>
      <w:tr>
        <w:tc>
          <w:tcPr>
            <w:tcW w:type="dxa" w:w="9972"/>
            <w:shd w:fill="FFEED3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What this checklist is not</w:t>
            </w:r>
          </w:p>
          <w:p>
            <w:pPr>
              <w:pStyle w:val="SaCell"/>
            </w:pPr>
            <w:r>
              <w:t xml:space="preserve">It is not a prescribed form — no Canadian jurisdiction prescribes one. Most of the lines below are trade practice and say so; what is required is the thing each line checks, not the checking. But the *inspection itself* is a legal duty in several provinces, with an interval attached, which is the subject of section 2. Nothing here is legal advice.</w:t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1. Scope of this inspection</w:t>
      </w:r>
    </w:p>
    <w:p>
      <w:pPr>
        <w:pStyle w:val="SaBasis"/>
      </w:pPr>
      <w:r>
        <w:t xml:space="preserve">— industry practice, nothing requires it</w:t>
      </w:r>
    </w:p>
    <w:p>
      <w:pPr>
        <w:pStyle w:val="SaBody"/>
      </w:pPr>
      <w:r>
        <w:rPr>
          <w:b w:val="false"/>
          <w:bCs w:val="false"/>
        </w:rPr>
        <w:t xml:space="preserve">Fill the scope in before you set off. An inspection whose area nobody can identify six months later has stopped being evidence of anything — and that is the commonest defect of inspections that were done properly.</w:t>
      </w:r>
    </w:p>
    <w:tbl>
      <w:tblPr>
        <w:tblW w:type="dxa" w:w="9972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2592"/>
        <w:gridCol w:w="2393"/>
        <w:gridCol w:w="2592"/>
        <w:gridCol w:w="2395"/>
      </w:tblGrid>
      <w:tr>
        <w:tc>
          <w:tcPr>
            <w:tcW w:type="dxa" w:w="25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Site</w:t>
            </w:r>
          </w:p>
        </w:tc>
        <w:tc>
          <w:tcPr>
            <w:tcW w:type="dxa" w:w="239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Area or department inspected</w:t>
            </w:r>
          </w:p>
        </w:tc>
        <w:tc>
          <w:tcPr>
            <w:tcW w:type="dxa" w:w="239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Date</w:t>
            </w:r>
          </w:p>
        </w:tc>
        <w:tc>
          <w:tcPr>
            <w:tcW w:type="dxa" w:w="239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Start and finish time</w:t>
            </w:r>
          </w:p>
        </w:tc>
        <w:tc>
          <w:tcPr>
            <w:tcW w:type="dxa" w:w="239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239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Hint"/>
            </w:pPr>
            <w:r>
              <w:t xml:space="preserve">[monthly · special (malfunction or accident) · topic · new installation]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Workers present in the area</w:t>
            </w:r>
          </w:p>
        </w:tc>
        <w:tc>
          <w:tcPr>
            <w:tcW w:type="dxa" w:w="239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Participants</w:t>
            </w:r>
          </w:p>
        </w:tc>
        <w:tc>
          <w:tcPr>
            <w:tcW w:type="dxa" w:w="7380"/>
            <w:gridSpan w:val="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Hint"/>
            </w:pPr>
            <w:r>
              <w:t xml:space="preserve">[names and roles — see section 2]</w:t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2. What the law actually requires</w:t>
      </w:r>
    </w:p>
    <w:p>
      <w:pPr>
        <w:pStyle w:val="SaBasis"/>
      </w:pPr>
      <w:r>
        <w:t xml:space="preserve">— required by law</w:t>
      </w:r>
    </w:p>
    <w:p>
      <w:pPr>
        <w:pStyle w:val="SaBody"/>
      </w:pPr>
      <w:r>
        <w:rPr>
          <w:b w:val="false"/>
          <w:bCs w:val="false"/>
        </w:rPr>
        <w:t xml:space="preserve">Ontario is the outlier and puts a number in the statute: a designated worker member of the joint committee — or the health and safety representative in a smaller workplace — «shall inspect the physical condition of the workplace at least once a month» (OHSA ss. 9(26) and 8(6)). British Columbia sets a standard instead of an interval: regular inspections of all workplaces «at intervals that will prevent the development of unsafe working conditions» (OHS Regulation s. 3.5), plus a special inspection when required by malfunction or accident.</w:t>
      </w:r>
    </w:p>
    <w:p>
      <w:pPr>
        <w:pStyle w:val="SaH2"/>
      </w:pPr>
      <w:r>
        <w:t xml:space="preserve">Who should be present</w:t>
      </w:r>
    </w:p>
    <w:p>
      <w:pPr>
        <w:pStyle w:val="SaBody"/>
      </w:pPr>
      <w:r>
        <w:rPr>
          <w:b w:val="false"/>
          <w:bCs w:val="false"/>
        </w:rPr>
        <w:t xml:space="preserve">In Ontario the inspecting person is designated by the worker members of the committee, and in British Columbia the committee or representative takes part where feasible. A walk done by one person from the safety office finds less and gets less fixed.</w:t>
      </w:r>
    </w:p>
    <w:p>
      <w:pPr>
        <w:pStyle w:val="ListParagraph"/>
        <w:pStyle w:val="SaBody"/>
        <w:numPr>
          <w:ilvl w:val="0"/>
          <w:numId w:val="1"/>
        </w:numPr>
      </w:pPr>
      <w:r>
        <w:t xml:space="preserve">A designated worker member of the joint committee, or the health and safety representative</w:t>
      </w:r>
    </w:p>
    <w:p>
      <w:pPr>
        <w:pStyle w:val="ListParagraph"/>
        <w:pStyle w:val="SaBody"/>
        <w:numPr>
          <w:ilvl w:val="0"/>
          <w:numId w:val="1"/>
        </w:numPr>
      </w:pPr>
      <w:r>
        <w:t xml:space="preserve">An employer representative</w:t>
      </w:r>
    </w:p>
    <w:p>
      <w:pPr>
        <w:pStyle w:val="ListParagraph"/>
        <w:pStyle w:val="SaBody"/>
        <w:numPr>
          <w:ilvl w:val="0"/>
          <w:numId w:val="1"/>
        </w:numPr>
      </w:pPr>
      <w:r>
        <w:t xml:space="preserve">The supervisor of the area walked</w:t>
      </w:r>
    </w:p>
    <w:p>
      <w:pPr>
        <w:pStyle w:val="ListParagraph"/>
        <w:pStyle w:val="SaBody"/>
        <w:numPr>
          <w:ilvl w:val="0"/>
          <w:numId w:val="1"/>
        </w:numPr>
      </w:pPr>
      <w:r>
        <w:t xml:space="preserve">A worker who does the job, where the walk covers a workstation</w:t>
      </w:r>
    </w:p>
    <w:p>
      <w:pPr>
        <w:pStyle w:val="ListParagraph"/>
        <w:pStyle w:val="SaBody"/>
        <w:numPr>
          <w:ilvl w:val="0"/>
          <w:numId w:val="1"/>
        </w:numPr>
      </w:pPr>
      <w:r>
        <w:t xml:space="preserve">Where neither a committee nor a representative exists in BC, one employer-designated and one worker-designated representative (OHS Regulation s. 3.8)</w:t>
      </w:r>
    </w:p>
    <w:p>
      <w:r>
        <w:br w:type="page"/>
      </w:r>
    </w:p>
    <w:p>
      <w:pPr>
        <w:pStyle w:val="SaH1"/>
      </w:pPr>
      <w:r>
        <w:t xml:space="preserve">3. Field checklist</w:t>
      </w:r>
    </w:p>
    <w:p>
      <w:pPr>
        <w:pStyle w:val="SaBasis"/>
      </w:pPr>
      <w:r>
        <w:t xml:space="preserve">— industry practice, nothing requires it</w:t>
      </w:r>
    </w:p>
    <w:p>
      <w:pPr>
        <w:pStyle w:val="SaBody"/>
      </w:pPr>
      <w:r>
        <w:rPr>
          <w:b w:val="false"/>
          <w:bCs w:val="false"/>
        </w:rPr>
        <w:t xml:space="preserve">Tick what is in order, leave blank what is not, and carry every blank into the findings table. An ambiguous tick is a finding.</w:t>
      </w:r>
    </w:p>
    <w:p>
      <w:pPr>
        <w:pStyle w:val="SaBody"/>
      </w:pPr>
      <w:r>
        <w:rPr>
          <w:b/>
          <w:bCs/>
        </w:rPr>
        <w:t xml:space="preserve">Delete the themes that do not apply to the area before printing. A forty-line sheet with fifteen irrelevant lines gets filled in badly, and the assembler on the template page exists for exactly that.</w:t>
      </w:r>
    </w:p>
    <w:p>
      <w:pPr>
        <w:pStyle w:val="SaH2"/>
      </w:pPr>
      <w:r>
        <w:t xml:space="preserve">Access, floors and traffic</w:t>
      </w:r>
    </w:p>
    <w:tbl>
      <w:tblPr>
        <w:tblW w:type="dxa" w:w="9972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00"/>
        <w:gridCol w:w="9572"/>
      </w:tblGrid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Traffic routes clear and marked.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Floors free of holes, standing liquid and trailing cables.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Pedestrian and mobile-equipment routes actually separated on the ground.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Lighting adequate, including in seldom-used passageways.</w:t>
            </w:r>
          </w:p>
        </w:tc>
      </w:tr>
    </w:tbl>
    <w:p>
      <w:pPr>
        <w:pStyle w:val="SaChrome"/>
      </w:pPr>
    </w:p>
    <w:p>
      <w:pPr>
        <w:pStyle w:val="SaH2"/>
      </w:pPr>
      <w:r>
        <w:t xml:space="preserve">Exits, first aid and fire</w:t>
      </w:r>
    </w:p>
    <w:tbl>
      <w:tblPr>
        <w:tblW w:type="dxa" w:w="9972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00"/>
        <w:gridCol w:w="9572"/>
      </w:tblGrid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Exits and egress routes unobstructed and unlocked in the direction of travel.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Emergency procedures posted and current.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Fire extinguishers in place, accessible, inspection current.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First aid attendant on shift and first aid supplies at the required level.</w:t>
            </w:r>
          </w:p>
          <w:p>
            <w:pPr>
              <w:pStyle w:val="SaHint"/>
            </w:pPr>
            <w:r>
              <w:t xml:space="preserve">The required attendant level and equipment depend on the province, the number of workers and the distance to care — check the schedule for your jurisdiction rather than assuming a kit is enough.</w:t>
            </w:r>
          </w:p>
        </w:tc>
      </w:tr>
    </w:tbl>
    <w:p>
      <w:pPr>
        <w:pStyle w:val="SaChrome"/>
      </w:pPr>
    </w:p>
    <w:p>
      <w:pPr>
        <w:pStyle w:val="SaH2"/>
      </w:pPr>
      <w:r>
        <w:t xml:space="preserve">Machines and equipment</w:t>
      </w:r>
    </w:p>
    <w:tbl>
      <w:tblPr>
        <w:tblW w:type="dxa" w:w="9972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00"/>
        <w:gridCol w:w="9572"/>
      </w:tblGrid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Guards in place and not defeated.</w:t>
            </w:r>
          </w:p>
          <w:p>
            <w:pPr>
              <w:pStyle w:val="SaHint"/>
            </w:pPr>
            <w:r>
              <w:t xml:space="preserve">A bypassed guard is a same-day finding, not a next-walk item.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Emergency stops reachable and identified.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Lockout devices and written procedures available at the machine.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Pre-use inspection records for mobile equipment present and current.</w:t>
            </w:r>
          </w:p>
        </w:tc>
      </w:tr>
    </w:tbl>
    <w:p>
      <w:pPr>
        <w:pStyle w:val="SaChrome"/>
      </w:pPr>
    </w:p>
    <w:p>
      <w:pPr>
        <w:pStyle w:val="SaH2"/>
      </w:pPr>
      <w:r>
        <w:t xml:space="preserve">Hazardous products (WHMIS)</w:t>
      </w:r>
    </w:p>
    <w:tbl>
      <w:tblPr>
        <w:tblW w:type="dxa" w:w="9972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00"/>
        <w:gridCol w:w="9572"/>
      </w:tblGrid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Supplier labels intact; workplace labels on every decanted container.</w:t>
            </w:r>
          </w:p>
          <w:p>
            <w:pPr>
              <w:pStyle w:val="SaHint"/>
            </w:pPr>
            <w:r>
              <w:t xml:space="preserve">WHMIS. A decanted container with no label is the classic finding, and the fix is a marker pen.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Safety data sheets accessible to workers in the area.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Storage compatible, spill containment in place, ventilation working.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No unidentified product in the area.</w:t>
            </w:r>
          </w:p>
        </w:tc>
      </w:tr>
    </w:tbl>
    <w:p>
      <w:pPr>
        <w:pStyle w:val="SaChrome"/>
      </w:pPr>
    </w:p>
    <w:p>
      <w:pPr>
        <w:pStyle w:val="SaH2"/>
      </w:pPr>
      <w:r>
        <w:t xml:space="preserve">Working at height and handling</w:t>
      </w:r>
    </w:p>
    <w:tbl>
      <w:tblPr>
        <w:tblW w:type="dxa" w:w="9972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00"/>
        <w:gridCol w:w="9572"/>
      </w:tblGrid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Guardrails, floor openings and covers protected.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Ladders used for access, not as a work platform.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Anchor points identified and inspected where fall arrest is used.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Handling aids available and actually used.</w:t>
            </w:r>
          </w:p>
        </w:tc>
      </w:tr>
    </w:tbl>
    <w:p>
      <w:pPr>
        <w:pStyle w:val="SaChrome"/>
      </w:pPr>
    </w:p>
    <w:p>
      <w:pPr>
        <w:pStyle w:val="SaH2"/>
      </w:pPr>
      <w:r>
        <w:t xml:space="preserve">PPE</w:t>
      </w:r>
    </w:p>
    <w:tbl>
      <w:tblPr>
        <w:tblW w:type="dxa" w:w="9972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00"/>
        <w:gridCol w:w="9572"/>
      </w:tblGrid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PPE worn, correct for the hazard, and in serviceable condition.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PPE available in the right size at the point of use.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Respirator fit tests current for everyone using one.</w:t>
            </w:r>
          </w:p>
        </w:tc>
      </w:tr>
    </w:tbl>
    <w:p>
      <w:pPr>
        <w:pStyle w:val="SaChrome"/>
      </w:pPr>
    </w:p>
    <w:p>
      <w:pPr>
        <w:pStyle w:val="SaH2"/>
      </w:pPr>
      <w:r>
        <w:t xml:space="preserve">Posting and records</w:t>
      </w:r>
    </w:p>
    <w:tbl>
      <w:tblPr>
        <w:tblW w:type="dxa" w:w="9972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00"/>
        <w:gridCol w:w="9572"/>
      </w:tblGrid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A copy of the Act and the explanatory material posted in a conspicuous place, or in a readily accessible electronic format.</w:t>
            </w:r>
          </w:p>
          <w:p>
            <w:pPr>
              <w:pStyle w:val="SaHint"/>
            </w:pPr>
            <w:r>
              <w:t xml:space="preserve">Ontario OHSA s. 25(2)(i). The electronic option is in the statute — a link people can actually reach counts.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The written health and safety policy posted.</w:t>
            </w:r>
          </w:p>
          <w:p>
            <w:pPr>
              <w:pStyle w:val="SaHint"/>
            </w:pPr>
            <w:r>
              <w:t xml:space="preserve">Ontario OHSA s. 25(2)(k), above five workers.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Committee membership and minutes posted where required.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Safe work procedures present and legible at the workstation.</w:t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4. Findings and actions</w:t>
      </w:r>
    </w:p>
    <w:p>
      <w:pPr>
        <w:pStyle w:val="SaBasis"/>
      </w:pPr>
      <w:r>
        <w:t xml:space="preserve">— industry practice, nothing requires it</w:t>
      </w:r>
    </w:p>
    <w:p>
      <w:pPr>
        <w:pStyle w:val="SaBody"/>
      </w:pPr>
      <w:r>
        <w:rPr>
          <w:b w:val="false"/>
          <w:bCs w:val="false"/>
        </w:rPr>
        <w:t xml:space="preserve">A finding with no owner and no date has never been fixed. That is the only thing this table exists to prevent.</w:t>
      </w:r>
    </w:p>
    <w:tbl>
      <w:tblPr>
        <w:tblW w:type="dxa" w:w="9972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98"/>
        <w:gridCol w:w="2592"/>
        <w:gridCol w:w="1196"/>
        <w:gridCol w:w="897"/>
        <w:gridCol w:w="2393"/>
        <w:gridCol w:w="1196"/>
        <w:gridCol w:w="1200"/>
      </w:tblGrid>
      <w:tr>
        <w:trPr>
          <w:tblHeader/>
        </w:trPr>
        <w:tc>
          <w:tcPr>
            <w:tcW w:type="dxa" w:w="498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No.</w:t>
            </w:r>
          </w:p>
        </w:tc>
        <w:tc>
          <w:tcPr>
            <w:tcW w:type="dxa" w:w="2592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Finding</w:t>
            </w:r>
          </w:p>
        </w:tc>
        <w:tc>
          <w:tcPr>
            <w:tcW w:type="dxa" w:w="1196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Theme</w:t>
            </w:r>
          </w:p>
        </w:tc>
        <w:tc>
          <w:tcPr>
            <w:tcW w:type="dxa" w:w="897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Severity</w:t>
            </w:r>
          </w:p>
        </w:tc>
        <w:tc>
          <w:tcPr>
            <w:tcW w:type="dxa" w:w="2393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Action decided</w:t>
            </w:r>
          </w:p>
        </w:tc>
        <w:tc>
          <w:tcPr>
            <w:tcW w:type="dxa" w:w="1196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Owner</w:t>
            </w:r>
          </w:p>
        </w:tc>
        <w:tc>
          <w:tcPr>
            <w:tcW w:type="dxa" w:w="1200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Due</w:t>
            </w:r>
          </w:p>
        </w:tc>
      </w:tr>
      <w:tr>
        <w:trPr>
          <w:trHeight w:val="460" w:hRule="atLeast"/>
        </w:trPr>
        <w:tc>
          <w:tcPr>
            <w:tcW w:type="dxa" w:w="4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9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9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9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9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9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0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9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9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9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9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9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0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9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9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9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9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9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0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9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9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9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9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9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0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9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9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9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9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9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0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9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9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9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9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9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0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9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9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9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9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9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0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9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9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9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9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9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0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9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9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9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9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9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0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9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9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9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9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9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0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9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9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9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9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9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0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9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9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9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9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9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0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Note"/>
      </w:pPr>
      <w:r>
        <w:t xml:space="preserve">Anything exposing somebody right now — a defeated guard, a blocked exit, an unidentified product — is dealt with before the walk ends, not entered into a ninety-day plan.</w:t>
      </w:r>
    </w:p>
    <w:p>
      <w:pPr>
        <w:pStyle w:val="SaH1"/>
      </w:pPr>
      <w:r>
        <w:t xml:space="preserve">5. Follow-up</w:t>
      </w:r>
    </w:p>
    <w:p>
      <w:pPr>
        <w:pStyle w:val="SaBasis"/>
      </w:pPr>
      <w:r>
        <w:t xml:space="preserve">— required by law</w:t>
      </w:r>
    </w:p>
    <w:p>
      <w:pPr>
        <w:pStyle w:val="SaBody"/>
      </w:pPr>
      <w:r>
        <w:rPr>
          <w:b w:val="false"/>
          <w:bCs w:val="false"/>
        </w:rPr>
        <w:t xml:space="preserve">Ontario closes the loop in the statute: the inspecting member «shall inform the committee of situations that may be a source of danger or hazard to workers and the committee shall consider such information within a reasonable period of time» (OHSA s. 9(30)). The committee's duty to *consider* is the part most often skipped.</w:t>
      </w:r>
    </w:p>
    <w:tbl>
      <w:tblPr>
        <w:tblW w:type="dxa" w:w="9972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00"/>
        <w:gridCol w:w="9572"/>
      </w:tblGrid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Findings recorded and given to the supervisor of the area.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Committee informed of situations that may be a source of danger, and the committee has considered them.</w:t>
            </w:r>
          </w:p>
          <w:p>
            <w:pPr>
              <w:pStyle w:val="SaHint"/>
            </w:pPr>
            <w:r>
              <w:t xml:space="preserve">OHSA s. 9(30) — and the consideration is a duty on the committee, within a reasonable period.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Inspection records kept as part of the health and safety programme.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Items requiring immediate correction dealt with before the walk ended.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Next inspection date set and recorded against the schedule.</w:t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6. Sign-off</w:t>
      </w:r>
    </w:p>
    <w:p>
      <w:pPr>
        <w:pStyle w:val="SaBasis"/>
      </w:pPr>
      <w:r>
        <w:t xml:space="preserve">— industry practice, nothing requires it</w:t>
      </w:r>
    </w:p>
    <w:p>
      <w:pPr>
        <w:pStyle w:val="SaBody"/>
      </w:pPr>
      <w:r>
        <w:rPr>
          <w:b w:val="false"/>
          <w:bCs w:val="false"/>
        </w:rPr>
        <w:t xml:space="preserve">A signature does not certify that the area is compliant. It records that the inspection happened, with these people, and that these were the findings.</w:t>
      </w:r>
    </w:p>
    <w:tbl>
      <w:tblPr>
        <w:tblW w:type="dxa" w:w="9972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3324"/>
        <w:gridCol w:w="3324"/>
        <w:gridCol w:w="3324"/>
      </w:tblGrid>
      <w:tr>
        <w:tc>
          <w:tcPr>
            <w:tcW w:type="dxa" w:w="3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40"/>
              <w:right w:type="dxa" w:w="16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Worker member or representative</w:t>
            </w:r>
          </w:p>
          <w:p>
            <w:pPr>
              <w:pStyle w:val="SaHint"/>
            </w:pPr>
            <w:r>
              <w:t xml:space="preserve">Name, date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40"/>
              <w:right w:type="dxa" w:w="16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Employer representative</w:t>
            </w:r>
          </w:p>
          <w:p>
            <w:pPr>
              <w:pStyle w:val="SaHint"/>
            </w:pPr>
            <w:r>
              <w:t xml:space="preserve">Name, title, date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40"/>
              <w:right w:type="dxa" w:w="16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Supervisor of the area</w:t>
            </w:r>
          </w:p>
          <w:p>
            <w:pPr>
              <w:pStyle w:val="SaHint"/>
            </w:pPr>
            <w:r>
              <w:t xml:space="preserve">Name, date</w:t>
            </w:r>
          </w:p>
        </w:tc>
      </w:tr>
      <w:tr>
        <w:trPr>
          <w:trHeight w:val="1100" w:hRule="atLeast"/>
        </w:trPr>
        <w:tc>
          <w:tcPr>
            <w:tcW w:type="dxa" w:w="332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32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32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p>
      <w:pPr>
        <w:pStyle w:val="SaH2"/>
      </w:pPr>
      <w:r>
        <w:t xml:space="preserve">Sources</w:t>
      </w:r>
    </w:p>
    <w:p>
      <w:pPr>
        <w:pStyle w:val="ListParagraph"/>
        <w:pStyle w:val="SaNote"/>
        <w:numPr>
          <w:ilvl w:val="0"/>
          <w:numId w:val="1"/>
        </w:numPr>
      </w:pPr>
      <w:r>
        <w:t xml:space="preserve">Ontario OHSA, ss. 8 and 9 — inspections by the representative and the committee — </w:t>
      </w:r>
      <w:hyperlink w:history="1" r:id="rIdugchjpcpjjb64ofrx4i-0">
        <w:r>
          <w:rPr>
            <w:color w:val="005674"/>
            <w:u w:val="single"/>
          </w:rPr>
          <w:t xml:space="preserve">https://www.ontario.ca/laws/statute/90o01</w:t>
        </w:r>
      </w:hyperlink>
    </w:p>
    <w:p>
      <w:pPr>
        <w:pStyle w:val="ListParagraph"/>
        <w:pStyle w:val="SaNote"/>
        <w:numPr>
          <w:ilvl w:val="0"/>
          <w:numId w:val="1"/>
        </w:numPr>
      </w:pPr>
      <w:r>
        <w:t xml:space="preserve">BC OHS Regulation, Part 3 — ss. 3.5, 3.7 and 3.8 — </w:t>
      </w:r>
      <w:hyperlink w:history="1" r:id="rIdqekna5ayf5xr8h89_usdt">
        <w:r>
          <w:rPr>
            <w:color w:val="005674"/>
            <w:u w:val="single"/>
          </w:rPr>
          <w:t xml:space="preserve">https://www.worksafebc.com/en/law-policy/occupational-health-safety/searchable-ohs-regulation/ohs-regulation/part-03-rights-and-responsibilities</w:t>
        </w:r>
      </w:hyperlink>
    </w:p>
    <w:p>
      <w:pPr>
        <w:pStyle w:val="SaNote"/>
      </w:pPr>
      <w:r>
        <w:rPr>
          <w:b w:val="false"/>
          <w:bCs w:val="false"/>
        </w:rPr>
        <w:t xml:space="preserve">Content last reviewed 2026-09-08 · This template's page — https://safeally.net/en-ca/templates/workplace-inspection-checklist/</w:t>
      </w:r>
    </w:p>
    <w:p>
      <w:pPr>
        <w:pStyle w:val="SaNote"/>
      </w:pPr>
      <w:r>
        <w:rPr>
          <w:b w:val="false"/>
          <w:bCs w:val="false"/>
        </w:rPr>
        <w:t xml:space="preserve">SafeAlly — safeally.net · free, no account, editable document</w:t>
      </w:r>
    </w:p>
    <w:sectPr>
      <w:headerReference w:type="default" r:id="rId7"/>
      <w:footerReference w:type="default" r:id="rId8"/>
      <w:pgSz w:w="12240" w:h="15840" w:orient="portrait"/>
      <w:pgMar w:top="1134" w:right="1134" w:bottom="1134" w:left="1134" w:header="680" w:footer="6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aChrome"/>
      <w:pBdr>
        <w:top w:val="single" w:color="BDE1F3" w:sz="4"/>
      </w:pBdr>
      <w:tabs>
        <w:tab w:val="right" w:pos="9972"/>
      </w:tabs>
    </w:pPr>
    <w:r>
      <w:t xml:space="preserve">Content last reviewed 2026-09-08 · safeally.net</w:t>
    </w:r>
    <w:r>
      <w:t xml:space="preserve">	</w:t>
      <w:t xml:space="preserve">Page </w:t>
      <w:fldChar w:fldCharType="begin"/>
      <w:instrText xml:space="preserve">PAGE</w:instrText>
      <w:fldChar w:fldCharType="separate"/>
      <w:fldChar w:fldCharType="end"/>
    </w:r>
    <w:r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Style w:val="SaChrome"/>
      <w:pBdr>
        <w:bottom w:val="single" w:color="BDE1F3" w:sz="4"/>
      </w:pBdr>
    </w:pPr>
    <w:r>
      <w:t xml:space="preserve">Workplace inspection — area: …………………………… — date ……/……/………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21D28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aTitle">
    <w:name w:val="SafeAlly Title"/>
    <w:basedOn w:val="Normal"/>
    <w:next w:val="SaSubtitle"/>
    <w:qFormat/>
    <w:pPr>
      <w:spacing w:after="60"/>
    </w:pPr>
    <w:rPr>
      <w:b/>
      <w:bCs/>
      <w:color w:val="014259"/>
      <w:sz w:val="32"/>
      <w:szCs w:val="32"/>
    </w:rPr>
  </w:style>
  <w:style w:type="paragraph" w:styleId="SaSubtitle">
    <w:name w:val="SafeAlly Subtitle"/>
    <w:basedOn w:val="Normal"/>
    <w:next w:val="SaBody"/>
    <w:qFormat/>
    <w:pPr>
      <w:pBdr>
        <w:bottom w:val="single" w:color="FFC250" w:sz="12"/>
      </w:pBdr>
      <w:spacing w:after="240"/>
    </w:pPr>
    <w:rPr>
      <w:color w:val="005674"/>
      <w:sz w:val="20"/>
      <w:szCs w:val="20"/>
    </w:rPr>
  </w:style>
  <w:style w:type="paragraph" w:styleId="SaH1">
    <w:name w:val="SafeAlly Heading 1"/>
    <w:basedOn w:val="Normal"/>
    <w:next w:val="SaBody"/>
    <w:qFormat/>
    <w:pPr>
      <w:keepNext/>
      <w:pBdr>
        <w:bottom w:val="single" w:color="BDE1F3" w:sz="6"/>
      </w:pBdr>
      <w:spacing w:after="40" w:before="320"/>
    </w:pPr>
    <w:rPr>
      <w:b/>
      <w:bCs/>
      <w:color w:val="014259"/>
      <w:sz w:val="24"/>
      <w:szCs w:val="24"/>
    </w:rPr>
  </w:style>
  <w:style w:type="paragraph" w:styleId="SaH2">
    <w:name w:val="SafeAlly Heading 2"/>
    <w:basedOn w:val="Normal"/>
    <w:next w:val="SaBody"/>
    <w:qFormat/>
    <w:pPr>
      <w:keepNext/>
      <w:spacing w:after="40" w:before="240"/>
    </w:pPr>
    <w:rPr>
      <w:b/>
      <w:bCs/>
      <w:color w:val="005674"/>
      <w:sz w:val="21"/>
      <w:szCs w:val="21"/>
    </w:rPr>
  </w:style>
  <w:style w:type="paragraph" w:styleId="SaBody">
    <w:name w:val="SafeAlly Body"/>
    <w:basedOn w:val="Normal"/>
    <w:next w:val="SaBody"/>
    <w:qFormat/>
    <w:pPr>
      <w:spacing w:after="120" w:line="264"/>
    </w:pPr>
    <w:rPr>
      <w:color w:val="021D28"/>
      <w:sz w:val="20"/>
      <w:szCs w:val="20"/>
    </w:rPr>
  </w:style>
  <w:style w:type="paragraph" w:styleId="SaBasis">
    <w:name w:val="SafeAlly Basis"/>
    <w:basedOn w:val="Normal"/>
    <w:next w:val="SaBody"/>
    <w:pPr>
      <w:keepNext/>
      <w:spacing w:after="140"/>
    </w:pPr>
    <w:rPr>
      <w:i/>
      <w:iCs/>
      <w:color w:val="005674"/>
      <w:sz w:val="16"/>
      <w:szCs w:val="16"/>
    </w:rPr>
  </w:style>
  <w:style w:type="paragraph" w:styleId="SaNote">
    <w:name w:val="SafeAlly Note"/>
    <w:basedOn w:val="Normal"/>
    <w:next w:val="SaBody"/>
    <w:pPr>
      <w:spacing w:after="160"/>
    </w:pPr>
    <w:rPr>
      <w:color w:val="053143"/>
      <w:sz w:val="16"/>
      <w:szCs w:val="16"/>
    </w:rPr>
  </w:style>
  <w:style w:type="paragraph" w:styleId="SaCell">
    <w:name w:val="SafeAlly Cell"/>
    <w:basedOn w:val="Normal"/>
    <w:next w:val="SaCell"/>
    <w:pPr>
      <w:spacing w:after="40" w:before="40"/>
    </w:pPr>
    <w:rPr>
      <w:color w:val="021D28"/>
      <w:sz w:val="19"/>
      <w:szCs w:val="19"/>
    </w:rPr>
  </w:style>
  <w:style w:type="paragraph" w:styleId="SaCellHeader">
    <w:name w:val="SafeAlly Cell Header"/>
    <w:basedOn w:val="Normal"/>
    <w:next w:val="SaCell"/>
    <w:pPr>
      <w:spacing w:after="60" w:before="60"/>
    </w:pPr>
    <w:rPr>
      <w:b/>
      <w:bCs/>
      <w:color w:val="FFFFFF"/>
      <w:sz w:val="18"/>
      <w:szCs w:val="18"/>
    </w:rPr>
  </w:style>
  <w:style w:type="paragraph" w:styleId="SaHint">
    <w:name w:val="SafeAlly Hint"/>
    <w:basedOn w:val="Normal"/>
    <w:next w:val="SaCell"/>
    <w:pPr>
      <w:spacing w:after="40" w:before="40"/>
    </w:pPr>
    <w:rPr>
      <w:i/>
      <w:iCs/>
      <w:color w:val="005674"/>
      <w:sz w:val="17"/>
      <w:szCs w:val="17"/>
    </w:rPr>
  </w:style>
  <w:style w:type="paragraph" w:styleId="SaChrome">
    <w:name w:val="SafeAlly Chrome"/>
    <w:basedOn w:val="Normal"/>
    <w:next w:val="SaChrome"/>
    <w:pPr>
      <w:spacing w:after="0"/>
    </w:pPr>
    <w:rPr>
      <w:color w:val="005674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ugchjpcpjjb64ofrx4i-0" Type="http://schemas.openxmlformats.org/officeDocument/2006/relationships/hyperlink" Target="https://www.ontario.ca/laws/statute/90o01" TargetMode="External"/><Relationship Id="rIdqekna5ayf5xr8h89_usdt" Type="http://schemas.openxmlformats.org/officeDocument/2006/relationships/hyperlink" Target="https://www.worksafebc.com/en/law-policy/occupational-health-safety/searchable-ohs-regulation/ohs-regulation/part-03-rights-and-responsibilities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Workplace inspection</dc:title>
  <dc:subject>Workplace inspection checklist to complete in the field — Canada. SafeAlly, safeally.net.</dc:subject>
  <dc:creator>SafeAlly — safeally.net</dc:creator>
  <dc:description>Workplace inspection checklist to complete in the field — Canada. SafeAlly, safeally.net.</dc:description>
  <cp:lastModifiedBy>SafeAlly — safeally.net</cp:lastModifiedBy>
  <cp:revision>1</cp:revision>
  <dcterms:created xsi:type="dcterms:W3CDTF">2026-09-08T00:00:00.000Z</dcterms:created>
  <dcterms:modified xsi:type="dcterms:W3CDTF">2026-09-08T00:00:00.000Z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