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Visite de sécurité</w:t>
      </w:r>
    </w:p>
    <w:p>
      <w:pPr>
        <w:pStyle w:val="SaSubtitle"/>
      </w:pPr>
      <w:r>
        <w:t xml:space="preserve">France — support de terrain. Aucune trame n'est imposée par le Code du travail.</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Ce que cette checklist n'est pas</w:t>
            </w:r>
          </w:p>
          <w:p>
            <w:pPr>
              <w:pStyle w:val="SaCell"/>
            </w:pPr>
            <w:r>
              <w:t xml:space="preserve">Ce n'est pas une obligation réglementaire. Aucun texte n'impose de visite de sécurité, et aucune trame n'est imposée : la plupart des lignes ci-dessous sont une pratique de métier, et elles portent la mention correspondante. Ce qui est imposé, c'est ce que les lignes vérifient — un dégagement libre, un protecteur en place, un étiquetage présent. Rien ici ne constitue un conseil juridique.</w:t>
            </w:r>
          </w:p>
        </w:tc>
      </w:tr>
    </w:tbl>
    <w:p>
      <w:pPr>
        <w:pStyle w:val="SaChrome"/>
      </w:pPr>
    </w:p>
    <w:p>
      <w:pPr>
        <w:pStyle w:val="SaH1"/>
      </w:pPr>
      <w:r>
        <w:t xml:space="preserve">1. Cadre de la visite</w:t>
      </w:r>
    </w:p>
    <w:p>
      <w:pPr>
        <w:pStyle w:val="SaBasis"/>
      </w:pPr>
      <w:r>
        <w:t xml:space="preserve">— pratique de métier, rien ne l'impose</w:t>
      </w:r>
    </w:p>
    <w:p>
      <w:pPr>
        <w:pStyle w:val="SaBody"/>
      </w:pPr>
      <w:r>
        <w:rPr>
          <w:b w:val="false"/>
          <w:bCs w:val="false"/>
        </w:rPr>
        <w:t xml:space="preserve">Renseignez le périmètre avant de partir. Une visite dont on ne sait plus, six mois après, quelle zone elle couvrait ne sert plus à rien — et c'est le défaut le plus courant des visites faites sérieusement.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Site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Zone ou atelier visité</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Heure de début et de fin</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Type de visite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[périodique · après incident · thématique · nouvelle installation]</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Effectif présent dans la zone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Participants</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[noms et fonctions — voir la section 2]</w:t>
            </w:r>
          </w:p>
        </w:tc>
      </w:tr>
    </w:tbl>
    <w:p>
      <w:pPr>
        <w:pStyle w:val="SaChrome"/>
      </w:pPr>
    </w:p>
    <w:p>
      <w:pPr>
        <w:pStyle w:val="SaH1"/>
      </w:pPr>
      <w:r>
        <w:t xml:space="preserve">2. Ce que le texte impose réellement</w:t>
      </w:r>
    </w:p>
    <w:p>
      <w:pPr>
        <w:pStyle w:val="SaBasis"/>
      </w:pPr>
      <w:r>
        <w:t xml:space="preserve">— imposé par la réglementation</w:t>
      </w:r>
    </w:p>
    <w:p>
      <w:pPr>
        <w:pStyle w:val="SaBody"/>
      </w:pPr>
      <w:r>
        <w:rPr>
          <w:b w:val="false"/>
          <w:bCs w:val="false"/>
        </w:rPr>
        <w:t xml:space="preserve">Aucun texte n'impose de visite de sécurité ni sa fréquence. Ce qui est imposé, c'est que le CSE procède « à intervalles réguliers » à des inspections en matière de santé, de sécurité et des conditions de travail (L. 2312-13) — l'intervalle est donc à décider et à écrire, pas à deviner.</w:t>
      </w:r>
    </w:p>
    <w:p>
      <w:pPr>
        <w:pStyle w:val="SaH2"/>
      </w:pPr>
      <w:r>
        <w:t xml:space="preserve">Qui devrait être présent</w:t>
      </w:r>
    </w:p>
    <w:p>
      <w:pPr>
        <w:pStyle w:val="SaBody"/>
      </w:pPr>
      <w:r>
        <w:rPr>
          <w:b w:val="false"/>
          <w:bCs w:val="false"/>
        </w:rPr>
        <w:t xml:space="preserve">La composition est une pratique, sauf pour les membres du CSE dont les inspections sont, elles, une attribution légale. Une visite faite par une seule personne du service HSE trouve moins de choses et en fait corriger encore moins.</w:t>
      </w:r>
    </w:p>
    <w:p>
      <w:pPr>
        <w:pStyle w:val="ListParagraph"/>
        <w:pStyle w:val="SaBody"/>
        <w:numPr>
          <w:ilvl w:val="0"/>
          <w:numId w:val="1"/>
        </w:numPr>
      </w:pPr>
      <w:r>
        <w:t xml:space="preserve">Un représentant de l'employeur</w:t>
      </w:r>
    </w:p>
    <w:p>
      <w:pPr>
        <w:pStyle w:val="ListParagraph"/>
        <w:pStyle w:val="SaBody"/>
        <w:numPr>
          <w:ilvl w:val="0"/>
          <w:numId w:val="1"/>
        </w:numPr>
      </w:pPr>
      <w:r>
        <w:t xml:space="preserve">Un ou plusieurs membres de la délégation du personnel du CSE</w:t>
      </w:r>
    </w:p>
    <w:p>
      <w:pPr>
        <w:pStyle w:val="ListParagraph"/>
        <w:pStyle w:val="SaBody"/>
        <w:numPr>
          <w:ilvl w:val="0"/>
          <w:numId w:val="1"/>
        </w:numPr>
      </w:pPr>
      <w:r>
        <w:t xml:space="preserve">L'encadrement de la zone visitée</w:t>
      </w:r>
    </w:p>
    <w:p>
      <w:pPr>
        <w:pStyle w:val="ListParagraph"/>
        <w:pStyle w:val="SaBody"/>
        <w:numPr>
          <w:ilvl w:val="0"/>
          <w:numId w:val="1"/>
        </w:numPr>
      </w:pPr>
      <w:r>
        <w:t xml:space="preserve">Un opérateur du poste, quand la visite porte sur un poste</w:t>
      </w:r>
    </w:p>
    <w:p>
      <w:pPr>
        <w:pStyle w:val="ListParagraph"/>
        <w:pStyle w:val="SaBody"/>
        <w:numPr>
          <w:ilvl w:val="0"/>
          <w:numId w:val="1"/>
        </w:numPr>
      </w:pPr>
      <w:r>
        <w:t xml:space="preserve">Le référent santé-sécurité ou l'intervenant en prévention, s'il en existe</w:t>
      </w:r>
    </w:p>
    <w:p>
      <w:r>
        <w:br w:type="page"/>
      </w:r>
    </w:p>
    <w:p>
      <w:pPr>
        <w:pStyle w:val="SaH1"/>
      </w:pPr>
      <w:r>
        <w:t xml:space="preserve">3. Checklist de terrain</w:t>
      </w:r>
    </w:p>
    <w:p>
      <w:pPr>
        <w:pStyle w:val="SaBasis"/>
      </w:pPr>
      <w:r>
        <w:t xml:space="preserve">— pratique de métier, rien ne l'impose</w:t>
      </w:r>
    </w:p>
    <w:p>
      <w:pPr>
        <w:pStyle w:val="SaBody"/>
      </w:pPr>
      <w:r>
        <w:rPr>
          <w:b w:val="false"/>
          <w:bCs w:val="false"/>
        </w:rPr>
        <w:t xml:space="preserve">Cochez ce qui est conforme, laissez vide ce qui ne l'est pas, et reportez chaque case vide dans le tableau des constats. Une case ambiguë vaut un constat.</w:t>
      </w:r>
    </w:p>
    <w:p>
      <w:pPr>
        <w:pStyle w:val="SaBody"/>
      </w:pPr>
      <w:r>
        <w:rPr>
          <w:b/>
          <w:bCs/>
        </w:rPr>
        <w:t xml:space="preserve">Retirez les rubriques qui ne concernent pas la zone visitée avant d'imprimer. Une checklist de quarante lignes dont quinze ne s'appliquent pas se remplit mal, et l'assembleur sur la page du modèle sert exactement à ça.</w:t>
      </w:r>
    </w:p>
    <w:p>
      <w:pPr>
        <w:pStyle w:val="SaH2"/>
      </w:pPr>
      <w:r>
        <w:t xml:space="preserve">Circulation, sols et accès</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Allées de circulation dégagées et lisibles.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Sols sans trou, sans flaque, sans câble en travers.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Séparation des flux piétons et engins effective sur le terrain.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Éclairage suffisant, y compris dans les zones de passage rarement utilisées.</w:t>
            </w:r>
          </w:p>
        </w:tc>
      </w:tr>
    </w:tbl>
    <w:p>
      <w:pPr>
        <w:pStyle w:val="SaChrome"/>
      </w:pPr>
    </w:p>
    <w:p>
      <w:pPr>
        <w:pStyle w:val="SaH2"/>
      </w:pPr>
      <w:r>
        <w:t xml:space="preserve">Issues, secours et incendie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Issues et dégagements de secours libres, non verrouillés dans le sens de la sortie.</w:t>
            </w:r>
          </w:p>
          <w:p>
            <w:pPr>
              <w:pStyle w:val="SaHint"/>
            </w:pPr>
            <w:r>
              <w:t xml:space="preserve">Les dégagements doivent rester libres en permanence ; c'est la non-conformité la plus fréquemment relevée et la plus facile à créer en une journée de stockage.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Consignes de sécurité et plan d'évacuation affichés et à jour.</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Extincteurs en place, accessibles, vérification annuelle à jour.</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Trousse de secours complète, et sauveteur secouriste présent sur le créneau.</w:t>
            </w:r>
          </w:p>
        </w:tc>
      </w:tr>
    </w:tbl>
    <w:p>
      <w:pPr>
        <w:pStyle w:val="SaChrome"/>
      </w:pPr>
    </w:p>
    <w:p>
      <w:pPr>
        <w:pStyle w:val="SaH2"/>
      </w:pPr>
      <w:r>
        <w:t xml:space="preserve">Machines et équipements de travail</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Protecteurs en place et non neutralisés.</w:t>
            </w:r>
          </w:p>
          <w:p>
            <w:pPr>
              <w:pStyle w:val="SaHint"/>
            </w:pPr>
            <w:r>
              <w:t xml:space="preserve">Un protecteur ponté est un constat à traiter le jour même, pas à la prochaine visite.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Arrêts d'urgence accessibles et identifiés.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Vérifications périodiques des équipements à jour et traçables.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Notices d'utilisation disponibles au poste.</w:t>
            </w:r>
          </w:p>
        </w:tc>
      </w:tr>
    </w:tbl>
    <w:p>
      <w:pPr>
        <w:pStyle w:val="SaChrome"/>
      </w:pPr>
    </w:p>
    <w:p>
      <w:pPr>
        <w:pStyle w:val="SaH2"/>
      </w:pPr>
      <w:r>
        <w:t xml:space="preserve">Produits chimiques</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Contenants étiquetés, y compris les récipients de transvasement.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Fiches de données de sécurité accessibles et à jour.</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Stockage compatible, rétention en place, ventilation opérante.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Aucun produit inconnu ou sans étiquette dans la zone.</w:t>
            </w:r>
          </w:p>
        </w:tc>
      </w:tr>
    </w:tbl>
    <w:p>
      <w:pPr>
        <w:pStyle w:val="SaChrome"/>
      </w:pPr>
    </w:p>
    <w:p>
      <w:pPr>
        <w:pStyle w:val="SaH2"/>
      </w:pPr>
      <w:r>
        <w:t xml:space="preserve">Travail en hauteur et manutention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Garde-corps, trappes et ouvertures protégés.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Échelles utilisées comme moyen d'accès et non comme poste de travail.</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Points d'ancrage identifiés et vérifiés là où un harnais est utilisé.</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Aides à la manutention disponibles et réellement utilisées.</w:t>
            </w:r>
          </w:p>
        </w:tc>
      </w:tr>
    </w:tbl>
    <w:p>
      <w:pPr>
        <w:pStyle w:val="SaChrome"/>
      </w:pPr>
    </w:p>
    <w:p>
      <w:pPr>
        <w:pStyle w:val="SaH2"/>
      </w:pPr>
      <w:r>
        <w:t xml:space="preserve">EPI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EPI portés, adaptés au risque, et en état.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EPI disponibles en taille et en nombre au point d'usage.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Aucun EPI utilisé au-delà de sa durée de vie.</w:t>
            </w:r>
          </w:p>
        </w:tc>
      </w:tr>
    </w:tbl>
    <w:p>
      <w:pPr>
        <w:pStyle w:val="SaChrome"/>
      </w:pPr>
    </w:p>
    <w:p>
      <w:pPr>
        <w:pStyle w:val="SaH2"/>
      </w:pPr>
      <w:r>
        <w:t xml:space="preserve">Affichage et documents</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Avis d'accès au DUERP affiché à une place convenable et aisément accessible.</w:t>
            </w:r>
          </w:p>
          <w:p>
            <w:pPr>
              <w:pStyle w:val="SaHint"/>
            </w:pPr>
            <w:r>
              <w:t xml:space="preserve">Au même emplacement que le règlement intérieur là où il en existe un (R. 4121-4).</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Coordonnées du service de prévention et de santé au travail affichées.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Consignes de poste et modes opératoires présents et lisibles.</w:t>
            </w:r>
          </w:p>
        </w:tc>
      </w:tr>
    </w:tbl>
    <w:p>
      <w:pPr>
        <w:pStyle w:val="SaChrome"/>
      </w:pPr>
    </w:p>
    <w:p>
      <w:pPr>
        <w:pStyle w:val="SaH1"/>
      </w:pPr>
      <w:r>
        <w:t xml:space="preserve">4. Constats et actions</w:t>
      </w:r>
    </w:p>
    <w:p>
      <w:pPr>
        <w:pStyle w:val="SaBasis"/>
      </w:pPr>
      <w:r>
        <w:t xml:space="preserve">— pratique de métier, rien ne l'impose</w:t>
      </w:r>
    </w:p>
    <w:p>
      <w:pPr>
        <w:pStyle w:val="SaBody"/>
      </w:pPr>
      <w:r>
        <w:rPr>
          <w:b w:val="false"/>
          <w:bCs w:val="false"/>
        </w:rPr>
        <w:t xml:space="preserve">Un constat sans responsable et sans date n'a jamais été corrigé. C'est la seule chose que ce tableau existe pour empêcher.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505"/>
        <w:gridCol w:w="1156"/>
        <w:gridCol w:w="867"/>
        <w:gridCol w:w="2313"/>
        <w:gridCol w:w="1156"/>
        <w:gridCol w:w="1160"/>
      </w:tblGrid>
      <w:tr>
        <w:trPr>
          <w:tblHeader/>
        </w:trPr>
        <w:tc>
          <w:tcPr>
            <w:tcW w:type="dxa" w:w="481"/>
            <w:shd w:fill="014259" w:color="auto" w:val="clear"/>
            <w:tcMar>
              <w:top w:type="dxa" w:w="60"/>
              <w:left w:type="dxa" w:w="100"/>
              <w:bottom w:type="dxa" w:w="60"/>
              <w:right w:type="dxa" w:w="100"/>
            </w:tcMar>
          </w:tcPr>
          <w:p>
            <w:pPr>
              <w:pStyle w:val="SaCellHeader"/>
            </w:pPr>
            <w:r>
              <w:t xml:space="preserve">N°</w:t>
            </w:r>
          </w:p>
        </w:tc>
        <w:tc>
          <w:tcPr>
            <w:tcW w:type="dxa" w:w="2505"/>
            <w:shd w:fill="014259" w:color="auto" w:val="clear"/>
            <w:tcMar>
              <w:top w:type="dxa" w:w="60"/>
              <w:left w:type="dxa" w:w="100"/>
              <w:bottom w:type="dxa" w:w="60"/>
              <w:right w:type="dxa" w:w="100"/>
            </w:tcMar>
          </w:tcPr>
          <w:p>
            <w:pPr>
              <w:pStyle w:val="SaCellHeader"/>
            </w:pPr>
            <w:r>
              <w:t xml:space="preserve">Constat</w:t>
            </w:r>
          </w:p>
        </w:tc>
        <w:tc>
          <w:tcPr>
            <w:tcW w:type="dxa" w:w="1156"/>
            <w:shd w:fill="014259" w:color="auto" w:val="clear"/>
            <w:tcMar>
              <w:top w:type="dxa" w:w="60"/>
              <w:left w:type="dxa" w:w="100"/>
              <w:bottom w:type="dxa" w:w="60"/>
              <w:right w:type="dxa" w:w="100"/>
            </w:tcMar>
          </w:tcPr>
          <w:p>
            <w:pPr>
              <w:pStyle w:val="SaCellHeader"/>
            </w:pPr>
            <w:r>
              <w:t xml:space="preserve">Rubrique</w:t>
            </w:r>
          </w:p>
        </w:tc>
        <w:tc>
          <w:tcPr>
            <w:tcW w:type="dxa" w:w="867"/>
            <w:shd w:fill="014259" w:color="auto" w:val="clear"/>
            <w:tcMar>
              <w:top w:type="dxa" w:w="60"/>
              <w:left w:type="dxa" w:w="100"/>
              <w:bottom w:type="dxa" w:w="60"/>
              <w:right w:type="dxa" w:w="100"/>
            </w:tcMar>
          </w:tcPr>
          <w:p>
            <w:pPr>
              <w:pStyle w:val="SaCellHeader"/>
            </w:pPr>
            <w:r>
              <w:t xml:space="preserve">Gravité</w:t>
            </w:r>
          </w:p>
        </w:tc>
        <w:tc>
          <w:tcPr>
            <w:tcW w:type="dxa" w:w="2313"/>
            <w:shd w:fill="014259" w:color="auto" w:val="clear"/>
            <w:tcMar>
              <w:top w:type="dxa" w:w="60"/>
              <w:left w:type="dxa" w:w="100"/>
              <w:bottom w:type="dxa" w:w="60"/>
              <w:right w:type="dxa" w:w="100"/>
            </w:tcMar>
          </w:tcPr>
          <w:p>
            <w:pPr>
              <w:pStyle w:val="SaCellHeader"/>
            </w:pPr>
            <w:r>
              <w:t xml:space="preserve">Action décidée</w:t>
            </w:r>
          </w:p>
        </w:tc>
        <w:tc>
          <w:tcPr>
            <w:tcW w:type="dxa" w:w="1156"/>
            <w:shd w:fill="014259" w:color="auto" w:val="clear"/>
            <w:tcMar>
              <w:top w:type="dxa" w:w="60"/>
              <w:left w:type="dxa" w:w="100"/>
              <w:bottom w:type="dxa" w:w="60"/>
              <w:right w:type="dxa" w:w="100"/>
            </w:tcMar>
          </w:tcPr>
          <w:p>
            <w:pPr>
              <w:pStyle w:val="SaCellHeader"/>
            </w:pPr>
            <w:r>
              <w:t xml:space="preserve">Responsable</w:t>
            </w:r>
          </w:p>
        </w:tc>
        <w:tc>
          <w:tcPr>
            <w:tcW w:type="dxa" w:w="1160"/>
            <w:shd w:fill="014259" w:color="auto" w:val="clear"/>
            <w:tcMar>
              <w:top w:type="dxa" w:w="60"/>
              <w:left w:type="dxa" w:w="100"/>
              <w:bottom w:type="dxa" w:w="60"/>
              <w:right w:type="dxa" w:w="100"/>
            </w:tcMar>
          </w:tcPr>
          <w:p>
            <w:pPr>
              <w:pStyle w:val="SaCellHeader"/>
            </w:pPr>
            <w:r>
              <w:t xml:space="preserve">Échéance</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Traitez le jour même ce qui expose quelqu'un immédiatement — protecteur neutralisé, dégagement bloqué, produit non identifié. Ces trois-là ne figurent pas dans un plan d'action à trois mois.</w:t>
      </w:r>
    </w:p>
    <w:p>
      <w:pPr>
        <w:pStyle w:val="SaH1"/>
      </w:pPr>
      <w:r>
        <w:t xml:space="preserve">5. Suites données</w:t>
      </w:r>
    </w:p>
    <w:p>
      <w:pPr>
        <w:pStyle w:val="SaBasis"/>
      </w:pPr>
      <w:r>
        <w:t xml:space="preserve">— imposé par la réglementation</w:t>
      </w:r>
    </w:p>
    <w:p>
      <w:pPr>
        <w:pStyle w:val="SaBody"/>
      </w:pPr>
      <w:r>
        <w:rPr>
          <w:b w:val="false"/>
          <w:bCs w:val="false"/>
        </w:rPr>
        <w:t xml:space="preserve">L'article L. 2312-13 précise que le CSE « est informé des suites réservées à ses observations ». Le retour d'information n'est donc pas une courtoisie quand la visite a été faite avec le comité : c'est ce qui ferme la boucle et ce qui fait qu'une visite suivante sert à quelque chose.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Constats consignés et diffusés à l'encadrement de la zone.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CSE informé des suites réservées à ses observations.</w:t>
            </w:r>
          </w:p>
          <w:p>
            <w:pPr>
              <w:pStyle w:val="SaHint"/>
            </w:pPr>
            <w:r>
              <w:t xml:space="preserve">L. 2312-13, dernière partie. Applicable quand la visite relève d'une inspection du comité.</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Actions correctives reportées dans le programme annuel de prévention ou la liste d'actions du DUERP.</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Constats à corriger immédiatement traités avant la fin de la visite.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Date de la prochaine visite fixée et notée.</w:t>
            </w:r>
          </w:p>
        </w:tc>
      </w:tr>
    </w:tbl>
    <w:p>
      <w:pPr>
        <w:pStyle w:val="SaChrome"/>
      </w:pPr>
    </w:p>
    <w:p>
      <w:pPr>
        <w:pStyle w:val="SaH1"/>
      </w:pPr>
      <w:r>
        <w:t xml:space="preserve">6. Signatures</w:t>
      </w:r>
    </w:p>
    <w:p>
      <w:pPr>
        <w:pStyle w:val="SaBasis"/>
      </w:pPr>
      <w:r>
        <w:t xml:space="preserve">— pratique de métier, rien ne l'impose</w:t>
      </w:r>
    </w:p>
    <w:p>
      <w:pPr>
        <w:pStyle w:val="SaBody"/>
      </w:pPr>
      <w:r>
        <w:rPr>
          <w:b w:val="false"/>
          <w:bCs w:val="false"/>
        </w:rPr>
        <w:t xml:space="preserve">La signature ne vaut pas conformité de la zone. Elle atteste que la visite a eu lieu, avec ces participants, et que les constats sont ceux-ci.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3212"/>
        <w:gridCol w:w="3212"/>
        <w:gridCol w:w="3214"/>
      </w:tblGrid>
      <w:tr>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Pour l'employeur</w:t>
            </w:r>
          </w:p>
          <w:p>
            <w:pPr>
              <w:pStyle w:val="SaHint"/>
            </w:pPr>
            <w:r>
              <w:t xml:space="preserve">Nom, fonction, date</w:t>
            </w:r>
          </w:p>
        </w:tc>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Pour la délégation du personnel du CSE</w:t>
            </w:r>
          </w:p>
          <w:p>
            <w:pPr>
              <w:pStyle w:val="SaHint"/>
            </w:pPr>
            <w:r>
              <w:t xml:space="preserve">Nom, date</w:t>
            </w:r>
          </w:p>
        </w:tc>
        <w:tc>
          <w:tcPr>
            <w:tcW w:type="dxa" w:w="321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Responsable de la zone visitée</w:t>
            </w:r>
          </w:p>
          <w:p>
            <w:pPr>
              <w:pStyle w:val="SaHint"/>
            </w:pPr>
            <w:r>
              <w:t xml:space="preserve">Nom, date</w:t>
            </w:r>
          </w:p>
        </w:tc>
      </w:tr>
      <w:tr>
        <w:trPr>
          <w:trHeight w:val="1100" w:hRule="atLeast"/>
        </w:trPr>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Code du travail, article L. 2312-13 — inspections et enquêtes du CSE — </w:t>
      </w:r>
      <w:hyperlink w:history="1" r:id="rIdugchjpcpjjb64ofrx4i-0">
        <w:r>
          <w:rPr>
            <w:color w:val="005674"/>
            <w:u w:val="single"/>
          </w:rPr>
          <w:t xml:space="preserve">https://www.legifrance.gouv.fr/codes/article_lc/LEGIARTI000035609774</w:t>
        </w:r>
      </w:hyperlink>
    </w:p>
    <w:p>
      <w:pPr>
        <w:pStyle w:val="ListParagraph"/>
        <w:pStyle w:val="SaNote"/>
        <w:numPr>
          <w:ilvl w:val="0"/>
          <w:numId w:val="1"/>
        </w:numPr>
      </w:pPr>
      <w:r>
        <w:t xml:space="preserve">Code du travail, article L. 2312-9 — attributions du CSE en santé et sécurité — </w:t>
      </w:r>
      <w:hyperlink w:history="1" r:id="rIdqekna5ayf5xr8h89_usdt">
        <w:r>
          <w:rPr>
            <w:color w:val="005674"/>
            <w:u w:val="single"/>
          </w:rPr>
          <w:t xml:space="preserve">https://www.legifrance.gouv.fr/codes/article_lc/LEGIARTI000035609536</w:t>
        </w:r>
      </w:hyperlink>
    </w:p>
    <w:p>
      <w:pPr>
        <w:pStyle w:val="SaNote"/>
      </w:pPr>
      <w:r>
        <w:rPr>
          <w:b w:val="false"/>
          <w:bCs w:val="false"/>
        </w:rPr>
        <w:t xml:space="preserve">Contenu relu le 2026-09-08 · La page de ce modèle — https://safeally.net/fr-fr/modeles/checklist-visite-de-securite/</w:t>
      </w:r>
    </w:p>
    <w:p>
      <w:pPr>
        <w:pStyle w:val="SaNote"/>
      </w:pPr>
      <w:r>
        <w:rPr>
          <w:b w:val="false"/>
          <w:bCs w:val="false"/>
        </w:rPr>
        <w:t xml:space="preserve">SafeAlly — safeally.net · gratuit, sans compte, document modifiable</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Contenu relu le 2026-09-08 · safeally.net</w:t>
    </w:r>
    <w:r>
      <w:t xml:space="preserve">	</w:t>
      <w:t xml:space="preserve">Page </w:t>
      <w:fldChar w:fldCharType="begin"/>
      <w:instrText xml:space="preserve">PAGE</w:instrText>
      <w:fldChar w:fldCharType="separate"/>
      <w:fldChar w:fldCharType="end"/>
    </w:r>
    <w:r>
      <w:t xml:space="preserve"> sur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Visite de sécurité — zone : …………………………… — le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legifrance.gouv.fr/codes/article_lc/LEGIARTI000035609774" TargetMode="External"/><Relationship Id="rIdqekna5ayf5xr8h89_usdt" Type="http://schemas.openxmlformats.org/officeDocument/2006/relationships/hyperlink" Target="https://www.legifrance.gouv.fr/codes/article_lc/LEGIARTI000035609536"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Visite de sécurité</dc:title>
  <dc:subject>Checklist de visite de sécurité à remplir sur le terrain — France. SafeAlly, safeally.net.</dc:subject>
  <dc:creator>SafeAlly — safeally.net</dc:creator>
  <dc:description>Checklist de visite de sécurité à remplir sur le terrain — France.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