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Sopralluogo di sicurezza</w:t>
      </w:r>
    </w:p>
    <w:p>
      <w:pPr>
        <w:pStyle w:val="SaSubtitle"/>
      </w:pPr>
      <w:r>
        <w:t xml:space="preserve">Italia — scheda di campo. Il decreto non impone un sopralluogo generale periodico, ma fissa due cadenze annuali.</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Che cosa non è questa check-list</w:t>
            </w:r>
          </w:p>
          <w:p>
            <w:pPr>
              <w:pStyle w:val="SaCell"/>
            </w:pPr>
            <w:r>
              <w:t xml:space="preserve">Non è un modulo obbligatorio e non è un obbligo in sé. Il D.Lgs. 81/2008 non impone un sopralluogo generale periodico, e la maggior parte delle righe qui sotto è prassi di settore e lo dichiara. È imposto ciò che ogni riga verifica, non la verifica. Nessuna parte di questo testo è un parere legale.</w:t>
            </w:r>
          </w:p>
        </w:tc>
      </w:tr>
    </w:tbl>
    <w:p>
      <w:pPr>
        <w:pStyle w:val="SaChrome"/>
      </w:pPr>
    </w:p>
    <w:p>
      <w:pPr>
        <w:pStyle w:val="SaH1"/>
      </w:pPr>
      <w:r>
        <w:t xml:space="preserve">1. Ambito del sopralluogo</w:t>
      </w:r>
    </w:p>
    <w:p>
      <w:pPr>
        <w:pStyle w:val="SaBasis"/>
      </w:pPr>
      <w:r>
        <w:t xml:space="preserve">— prassi di settore, nulla lo impone</w:t>
      </w:r>
    </w:p>
    <w:p>
      <w:pPr>
        <w:pStyle w:val="SaBody"/>
      </w:pPr>
      <w:r>
        <w:rPr>
          <w:b w:val="false"/>
          <w:bCs w:val="false"/>
        </w:rPr>
        <w:t xml:space="preserve">Compilare l'ambito prima di partire. Un sopralluogo di cui, sei mesi dopo, nessuno sa più quale area copriva non documenta più nulla — ed è il difetto più comune dei sopralluoghi fatti seriamente.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Unità produttiva</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Area o reparto</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Data</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Ora di inizio e fine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Tipo</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[periodico · dopo evento · tematico · nuovo impianto]</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Lavoratori presenti nell'area</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Partecipanti</w:t>
            </w:r>
          </w:p>
        </w:tc>
        <w:tc>
          <w:tcPr>
            <w:tcW w:type="dxa" w:w="7133"/>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[nomi e ruoli — vedi sezione 2]</w:t>
            </w:r>
          </w:p>
        </w:tc>
      </w:tr>
    </w:tbl>
    <w:p>
      <w:pPr>
        <w:pStyle w:val="SaChrome"/>
      </w:pPr>
    </w:p>
    <w:p>
      <w:pPr>
        <w:pStyle w:val="SaH1"/>
      </w:pPr>
      <w:r>
        <w:t xml:space="preserve">2. Cosa impone davvero la norma</w:t>
      </w:r>
    </w:p>
    <w:p>
      <w:pPr>
        <w:pStyle w:val="SaBasis"/>
      </w:pPr>
      <w:r>
        <w:t xml:space="preserve">— imposto dalla normativa</w:t>
      </w:r>
    </w:p>
    <w:p>
      <w:pPr>
        <w:pStyle w:val="SaBody"/>
      </w:pPr>
      <w:r>
        <w:rPr>
          <w:b w:val="false"/>
          <w:bCs w:val="false"/>
        </w:rPr>
        <w:t xml:space="preserve">Il decreto non impone un sopralluogo periodico generale, ma fissa due cadenze che riguardano i luoghi di lavoro. Il medico competente «visita gli ambienti di lavoro almeno una volta all'anno o a cadenza diversa che stabilisce in base alla valutazione dei rischi» (art. 25 comma 1 lettera l). E la riunione periodica, nelle aziende con più di 15 lavoratori, si tiene almeno una volta all'anno (art. 35). Il RLS, invece, «accede ai luoghi di lavoro in cui si svolgono le lavorazioni» senza cadenza prefissata (art. 50 comma 1 lettera a).</w:t>
      </w:r>
    </w:p>
    <w:p>
      <w:pPr>
        <w:pStyle w:val="SaH2"/>
      </w:pPr>
      <w:r>
        <w:t xml:space="preserve">Chi dovrebbe essere presente</w:t>
      </w:r>
    </w:p>
    <w:p>
      <w:pPr>
        <w:pStyle w:val="SaBody"/>
      </w:pPr>
      <w:r>
        <w:rPr>
          <w:b w:val="false"/>
          <w:bCs w:val="false"/>
        </w:rPr>
        <w:t xml:space="preserve">La composizione è prassi, con due eccezioni che hanno base normativa: il RLS accede ai luoghi di lavoro in cui si svolgono le lavorazioni (art. 50 c. 1 lett. a) e il medico competente visita gli ambienti almeno una volta all'anno (art. 25 c. 1 lett. l). Un sopralluogo fatto da una sola persona del servizio prevenzione trova meno e fa correggere ancora meno.</w:t>
      </w:r>
    </w:p>
    <w:p>
      <w:pPr>
        <w:pStyle w:val="ListParagraph"/>
        <w:pStyle w:val="SaBody"/>
        <w:numPr>
          <w:ilvl w:val="0"/>
          <w:numId w:val="1"/>
        </w:numPr>
      </w:pPr>
      <w:r>
        <w:t xml:space="preserve">Il datore di lavoro o un dirigente</w:t>
      </w:r>
    </w:p>
    <w:p>
      <w:pPr>
        <w:pStyle w:val="ListParagraph"/>
        <w:pStyle w:val="SaBody"/>
        <w:numPr>
          <w:ilvl w:val="0"/>
          <w:numId w:val="1"/>
        </w:numPr>
      </w:pPr>
      <w:r>
        <w:t xml:space="preserve">Il RSPP</w:t>
      </w:r>
    </w:p>
    <w:p>
      <w:pPr>
        <w:pStyle w:val="ListParagraph"/>
        <w:pStyle w:val="SaBody"/>
        <w:numPr>
          <w:ilvl w:val="0"/>
          <w:numId w:val="1"/>
        </w:numPr>
      </w:pPr>
      <w:r>
        <w:t xml:space="preserve">Il RLS</w:t>
      </w:r>
    </w:p>
    <w:p>
      <w:pPr>
        <w:pStyle w:val="ListParagraph"/>
        <w:pStyle w:val="SaBody"/>
        <w:numPr>
          <w:ilvl w:val="0"/>
          <w:numId w:val="1"/>
        </w:numPr>
      </w:pPr>
      <w:r>
        <w:t xml:space="preserve">Il medico competente, per la visita annuale agli ambienti</w:t>
      </w:r>
    </w:p>
    <w:p>
      <w:pPr>
        <w:pStyle w:val="ListParagraph"/>
        <w:pStyle w:val="SaBody"/>
        <w:numPr>
          <w:ilvl w:val="0"/>
          <w:numId w:val="1"/>
        </w:numPr>
      </w:pPr>
      <w:r>
        <w:t xml:space="preserve">Il preposto dell'area</w:t>
      </w:r>
    </w:p>
    <w:p>
      <w:pPr>
        <w:pStyle w:val="ListParagraph"/>
        <w:pStyle w:val="SaBody"/>
        <w:numPr>
          <w:ilvl w:val="0"/>
          <w:numId w:val="1"/>
        </w:numPr>
      </w:pPr>
      <w:r>
        <w:t xml:space="preserve">Un lavoratore della mansione, quando il sopralluogo copre una postazione</w:t>
      </w:r>
    </w:p>
    <w:p>
      <w:r>
        <w:br w:type="page"/>
      </w:r>
    </w:p>
    <w:p>
      <w:pPr>
        <w:pStyle w:val="SaH1"/>
      </w:pPr>
      <w:r>
        <w:t xml:space="preserve">3. Check-list di campo</w:t>
      </w:r>
    </w:p>
    <w:p>
      <w:pPr>
        <w:pStyle w:val="SaBasis"/>
      </w:pPr>
      <w:r>
        <w:t xml:space="preserve">— prassi di settore, nulla lo impone</w:t>
      </w:r>
    </w:p>
    <w:p>
      <w:pPr>
        <w:pStyle w:val="SaBody"/>
      </w:pPr>
      <w:r>
        <w:rPr>
          <w:b w:val="false"/>
          <w:bCs w:val="false"/>
        </w:rPr>
        <w:t xml:space="preserve">Spuntare ciò che è conforme, lasciare vuoto ciò che non lo è, e riportare ogni casella vuota nella tabella delle constatazioni. Una spunta incerta è una constatazione.</w:t>
      </w:r>
    </w:p>
    <w:p>
      <w:pPr>
        <w:pStyle w:val="SaBody"/>
      </w:pPr>
      <w:r>
        <w:rPr>
          <w:b/>
          <w:bCs/>
        </w:rPr>
        <w:t xml:space="preserve">Cancellare le rubriche che non riguardano l'area prima di stampare. Una check-list di quaranta righe con quindici non pertinenti si compila male, e l'assemblatore sulla pagina del modello serve esattamente a questo.</w:t>
      </w:r>
    </w:p>
    <w:p>
      <w:pPr>
        <w:pStyle w:val="SaH2"/>
      </w:pPr>
      <w:r>
        <w:t xml:space="preserve">Vie di circolazione, pavimenti, accessi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Vie di circolazione libere e riconoscibili.</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Pavimenti senza buche, pozze o cavi di traverso.</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Separazione effettiva fra percorsi pedonali e mezzi.</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Illuminazione adeguata anche nei passaggi poco usati.</w:t>
            </w:r>
          </w:p>
        </w:tc>
      </w:tr>
    </w:tbl>
    <w:p>
      <w:pPr>
        <w:pStyle w:val="SaChrome"/>
      </w:pPr>
    </w:p>
    <w:p>
      <w:pPr>
        <w:pStyle w:val="SaH2"/>
      </w:pPr>
      <w:r>
        <w:t xml:space="preserve">Uscite, primo soccorso, antincendio</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Vie e uscite di emergenza libere e apribili nel senso dell'esodo senza chiave.</w:t>
            </w:r>
          </w:p>
          <w:p>
            <w:pPr>
              <w:pStyle w:val="SaHint"/>
            </w:pPr>
            <w:r>
              <w:t xml:space="preserve">La constatazione più frequente in assoluto, e quella che un pomeriggio di scarico merci è in grado di produrre.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Piano di emergenza e planimetrie esposti e aggiornati.</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Estintori al loro posto, accessibili, verifica in corso di validità.</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Presidi di primo soccorso completi e addetti presenti nel turno.</w:t>
            </w:r>
          </w:p>
        </w:tc>
      </w:tr>
    </w:tbl>
    <w:p>
      <w:pPr>
        <w:pStyle w:val="SaChrome"/>
      </w:pPr>
    </w:p>
    <w:p>
      <w:pPr>
        <w:pStyle w:val="SaH2"/>
      </w:pPr>
      <w:r>
        <w:t xml:space="preserve">Attrezzature di lavoro</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Ripari e dispositivi di sicurezza presenti e non manomessi.</w:t>
            </w:r>
          </w:p>
          <w:p>
            <w:pPr>
              <w:pStyle w:val="SaHint"/>
            </w:pPr>
            <w:r>
              <w:t xml:space="preserve">Un riparo escluso si tratta nella giornata, non al prossimo sopralluogo.</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Arresti di emergenza raggiungibili e identificati.</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Verifiche periodiche delle attrezzature in corso di validità e documentate.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Libretto d'uso disponibile in postazione.</w:t>
            </w:r>
          </w:p>
        </w:tc>
      </w:tr>
    </w:tbl>
    <w:p>
      <w:pPr>
        <w:pStyle w:val="SaChrome"/>
      </w:pPr>
    </w:p>
    <w:p>
      <w:pPr>
        <w:pStyle w:val="SaH2"/>
      </w:pPr>
      <w:r>
        <w:t xml:space="preserve">Agenti chimici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Contenitori etichettati, compresi quelli di travaso.</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Schede dati di sicurezza accessibili e aggiornate.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Stoccaggio compatibile, bacino di contenimento, aspirazione efficace.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Nessun prodotto non identificato nell'area.</w:t>
            </w:r>
          </w:p>
        </w:tc>
      </w:tr>
    </w:tbl>
    <w:p>
      <w:pPr>
        <w:pStyle w:val="SaChrome"/>
      </w:pPr>
    </w:p>
    <w:p>
      <w:pPr>
        <w:pStyle w:val="SaH2"/>
      </w:pPr>
      <w:r>
        <w:t xml:space="preserve">Lavori in quota e movimentazione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Parapetti, aperture nel piano e coperture protetti.</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Scale usate come accesso, non come postazione di lavoro.</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Punti di ancoraggio individuati e verificati dove si usa l'imbracatura.</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Ausili alla movimentazione disponibili e realmente usati.</w:t>
            </w:r>
          </w:p>
        </w:tc>
      </w:tr>
    </w:tbl>
    <w:p>
      <w:pPr>
        <w:pStyle w:val="SaChrome"/>
      </w:pPr>
    </w:p>
    <w:p>
      <w:pPr>
        <w:pStyle w:val="SaH2"/>
      </w:pPr>
      <w:r>
        <w:t xml:space="preserve">DPI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DPI indossati, adeguati al rischio e in stato efficiente.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DPI disponibili nella taglia giusta nel punto d'uso.</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Nessun DPI in uso oltre la scadenza.</w:t>
            </w:r>
          </w:p>
        </w:tc>
      </w:tr>
    </w:tbl>
    <w:p>
      <w:pPr>
        <w:pStyle w:val="SaChrome"/>
      </w:pPr>
    </w:p>
    <w:p>
      <w:pPr>
        <w:pStyle w:val="SaH2"/>
      </w:pPr>
      <w:r>
        <w:t xml:space="preserve">Documenti ed esposizioni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DVR custodito presso l'unità produttiva.</w:t>
            </w:r>
          </w:p>
          <w:p>
            <w:pPr>
              <w:pStyle w:val="SaHint"/>
            </w:pPr>
            <w:r>
              <w:t xml:space="preserve">Art. 29 comma 4: presso l'unità produttiva alla quale la valutazione si riferisce, non in sede.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Attestati di formazione e addestramento reperibili per le mansioni presenti.</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Segnaletica di sicurezza presente, leggibile e coerente con il rischio.</w:t>
            </w:r>
          </w:p>
        </w:tc>
      </w:tr>
    </w:tbl>
    <w:p>
      <w:pPr>
        <w:pStyle w:val="SaChrome"/>
      </w:pPr>
    </w:p>
    <w:p>
      <w:pPr>
        <w:pStyle w:val="SaH1"/>
      </w:pPr>
      <w:r>
        <w:t xml:space="preserve">4. Constatazioni e azioni</w:t>
      </w:r>
    </w:p>
    <w:p>
      <w:pPr>
        <w:pStyle w:val="SaBasis"/>
      </w:pPr>
      <w:r>
        <w:t xml:space="preserve">— prassi di settore, nulla lo impone</w:t>
      </w:r>
    </w:p>
    <w:p>
      <w:pPr>
        <w:pStyle w:val="SaBody"/>
      </w:pPr>
      <w:r>
        <w:rPr>
          <w:b w:val="false"/>
          <w:bCs w:val="false"/>
        </w:rPr>
        <w:t xml:space="preserve">Una constatazione senza responsabile e senza data non è mai stata risolta. È l'unica cosa che questa tabella esiste per evitare.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2505"/>
        <w:gridCol w:w="1156"/>
        <w:gridCol w:w="867"/>
        <w:gridCol w:w="2313"/>
        <w:gridCol w:w="1156"/>
        <w:gridCol w:w="1160"/>
      </w:tblGrid>
      <w:tr>
        <w:trPr>
          <w:tblHeader/>
        </w:trPr>
        <w:tc>
          <w:tcPr>
            <w:tcW w:type="dxa" w:w="481"/>
            <w:shd w:fill="014259" w:color="auto" w:val="clear"/>
            <w:tcMar>
              <w:top w:type="dxa" w:w="60"/>
              <w:left w:type="dxa" w:w="100"/>
              <w:bottom w:type="dxa" w:w="60"/>
              <w:right w:type="dxa" w:w="100"/>
            </w:tcMar>
          </w:tcPr>
          <w:p>
            <w:pPr>
              <w:pStyle w:val="SaCellHeader"/>
            </w:pPr>
            <w:r>
              <w:t xml:space="preserve">N.</w:t>
            </w:r>
          </w:p>
        </w:tc>
        <w:tc>
          <w:tcPr>
            <w:tcW w:type="dxa" w:w="2505"/>
            <w:shd w:fill="014259" w:color="auto" w:val="clear"/>
            <w:tcMar>
              <w:top w:type="dxa" w:w="60"/>
              <w:left w:type="dxa" w:w="100"/>
              <w:bottom w:type="dxa" w:w="60"/>
              <w:right w:type="dxa" w:w="100"/>
            </w:tcMar>
          </w:tcPr>
          <w:p>
            <w:pPr>
              <w:pStyle w:val="SaCellHeader"/>
            </w:pPr>
            <w:r>
              <w:t xml:space="preserve">Constatazione</w:t>
            </w:r>
          </w:p>
        </w:tc>
        <w:tc>
          <w:tcPr>
            <w:tcW w:type="dxa" w:w="1156"/>
            <w:shd w:fill="014259" w:color="auto" w:val="clear"/>
            <w:tcMar>
              <w:top w:type="dxa" w:w="60"/>
              <w:left w:type="dxa" w:w="100"/>
              <w:bottom w:type="dxa" w:w="60"/>
              <w:right w:type="dxa" w:w="100"/>
            </w:tcMar>
          </w:tcPr>
          <w:p>
            <w:pPr>
              <w:pStyle w:val="SaCellHeader"/>
            </w:pPr>
            <w:r>
              <w:t xml:space="preserve">Rubrica</w:t>
            </w:r>
          </w:p>
        </w:tc>
        <w:tc>
          <w:tcPr>
            <w:tcW w:type="dxa" w:w="867"/>
            <w:shd w:fill="014259" w:color="auto" w:val="clear"/>
            <w:tcMar>
              <w:top w:type="dxa" w:w="60"/>
              <w:left w:type="dxa" w:w="100"/>
              <w:bottom w:type="dxa" w:w="60"/>
              <w:right w:type="dxa" w:w="100"/>
            </w:tcMar>
          </w:tcPr>
          <w:p>
            <w:pPr>
              <w:pStyle w:val="SaCellHeader"/>
            </w:pPr>
            <w:r>
              <w:t xml:space="preserve">Gravità</w:t>
            </w:r>
          </w:p>
        </w:tc>
        <w:tc>
          <w:tcPr>
            <w:tcW w:type="dxa" w:w="2313"/>
            <w:shd w:fill="014259" w:color="auto" w:val="clear"/>
            <w:tcMar>
              <w:top w:type="dxa" w:w="60"/>
              <w:left w:type="dxa" w:w="100"/>
              <w:bottom w:type="dxa" w:w="60"/>
              <w:right w:type="dxa" w:w="100"/>
            </w:tcMar>
          </w:tcPr>
          <w:p>
            <w:pPr>
              <w:pStyle w:val="SaCellHeader"/>
            </w:pPr>
            <w:r>
              <w:t xml:space="preserve">Azione decisa</w:t>
            </w:r>
          </w:p>
        </w:tc>
        <w:tc>
          <w:tcPr>
            <w:tcW w:type="dxa" w:w="1156"/>
            <w:shd w:fill="014259" w:color="auto" w:val="clear"/>
            <w:tcMar>
              <w:top w:type="dxa" w:w="60"/>
              <w:left w:type="dxa" w:w="100"/>
              <w:bottom w:type="dxa" w:w="60"/>
              <w:right w:type="dxa" w:w="100"/>
            </w:tcMar>
          </w:tcPr>
          <w:p>
            <w:pPr>
              <w:pStyle w:val="SaCellHeader"/>
            </w:pPr>
            <w:r>
              <w:t xml:space="preserve">Responsabile</w:t>
            </w:r>
          </w:p>
        </w:tc>
        <w:tc>
          <w:tcPr>
            <w:tcW w:type="dxa" w:w="1160"/>
            <w:shd w:fill="014259" w:color="auto" w:val="clear"/>
            <w:tcMar>
              <w:top w:type="dxa" w:w="60"/>
              <w:left w:type="dxa" w:w="100"/>
              <w:bottom w:type="dxa" w:w="60"/>
              <w:right w:type="dxa" w:w="100"/>
            </w:tcMar>
          </w:tcPr>
          <w:p>
            <w:pPr>
              <w:pStyle w:val="SaCellHeader"/>
            </w:pPr>
            <w:r>
              <w:t xml:space="preserve">Termine</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Ciò che espone qualcuno adesso — riparo escluso, uscita bloccata, prodotto non identificato — si risolve prima della fine del sopralluogo, non in un piano a novanta giorni.</w:t>
      </w:r>
    </w:p>
    <w:p>
      <w:pPr>
        <w:pStyle w:val="SaH1"/>
      </w:pPr>
      <w:r>
        <w:t xml:space="preserve">5. Seguito</w:t>
      </w:r>
    </w:p>
    <w:p>
      <w:pPr>
        <w:pStyle w:val="SaBasis"/>
      </w:pPr>
      <w:r>
        <w:t xml:space="preserve">— imposto dalla normativa</w:t>
      </w:r>
    </w:p>
    <w:p>
      <w:pPr>
        <w:pStyle w:val="SaBody"/>
      </w:pPr>
      <w:r>
        <w:rPr>
          <w:b w:val="false"/>
          <w:bCs w:val="false"/>
        </w:rPr>
        <w:t xml:space="preserve">Il sopralluogo non è imposto; il suo seguito sì. Una modifica significativa, un infortunio significativo o un esito della sorveglianza sanitaria fanno scattare la rielaborazione del DVR entro trenta giorni (art. 29 c. 3), e le constatazioni alimentano il programma di miglioramento della lettera c) dell'art. 28 c. 2.</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Constatazioni documentate e consegnate al preposto dell'area.</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Azioni riportate nel programma di miglioramento del DVR.</w:t>
            </w:r>
          </w:p>
          <w:p>
            <w:pPr>
              <w:pStyle w:val="SaHint"/>
            </w:pPr>
            <w:r>
              <w:t xml:space="preserve">Art. 28 comma 2 lettera c).</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Verificato se una constatazione fa scattare la rielaborazione del DVR entro trenta giorni.</w:t>
            </w:r>
          </w:p>
          <w:p>
            <w:pPr>
              <w:pStyle w:val="SaHint"/>
            </w:pPr>
            <w:r>
              <w:t xml:space="preserve">Art. 29 comma 3: modifiche significative, infortuni significativi, esiti della sorveglianza sanitaria.</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RLS informato; temi annotati per la riunione periodica.</w:t>
            </w:r>
          </w:p>
          <w:p>
            <w:pPr>
              <w:pStyle w:val="SaHint"/>
            </w:pPr>
            <w:r>
              <w:t xml:space="preserve">Art. 35, almeno annuale sopra i 15 lavoratori.</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Constatazioni da risolvere subito chiuse prima della fine del sopralluogo.</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Data del prossimo sopralluogo fissata e annotata.</w:t>
            </w:r>
          </w:p>
        </w:tc>
      </w:tr>
    </w:tbl>
    <w:p>
      <w:pPr>
        <w:pStyle w:val="SaChrome"/>
      </w:pPr>
    </w:p>
    <w:p>
      <w:pPr>
        <w:pStyle w:val="SaH1"/>
      </w:pPr>
      <w:r>
        <w:t xml:space="preserve">6. Firme</w:t>
      </w:r>
    </w:p>
    <w:p>
      <w:pPr>
        <w:pStyle w:val="SaBasis"/>
      </w:pPr>
      <w:r>
        <w:t xml:space="preserve">— prassi di settore, nulla lo impone</w:t>
      </w:r>
    </w:p>
    <w:p>
      <w:pPr>
        <w:pStyle w:val="SaBody"/>
      </w:pPr>
      <w:r>
        <w:rPr>
          <w:b w:val="false"/>
          <w:bCs w:val="false"/>
        </w:rPr>
        <w:t xml:space="preserve">La firma non certifica la conformità dell'area. Attesta che il sopralluogo è avvenuto, con queste persone, e che queste sono le constatazioni.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3212"/>
        <w:gridCol w:w="3212"/>
        <w:gridCol w:w="3214"/>
      </w:tblGrid>
      <w:tr>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Per il datore di lavoro</w:t>
            </w:r>
          </w:p>
          <w:p>
            <w:pPr>
              <w:pStyle w:val="SaHint"/>
            </w:pPr>
            <w:r>
              <w:t xml:space="preserve">Nome, ruolo, data</w:t>
            </w:r>
          </w:p>
        </w:tc>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Il RSPP</w:t>
            </w:r>
          </w:p>
          <w:p>
            <w:pPr>
              <w:pStyle w:val="SaHint"/>
            </w:pPr>
            <w:r>
              <w:t xml:space="preserve">Nome, data</w:t>
            </w:r>
          </w:p>
        </w:tc>
        <w:tc>
          <w:tcPr>
            <w:tcW w:type="dxa" w:w="321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Il RLS</w:t>
            </w:r>
          </w:p>
          <w:p>
            <w:pPr>
              <w:pStyle w:val="SaHint"/>
            </w:pPr>
            <w:r>
              <w:t xml:space="preserve">Nome, data</w:t>
            </w:r>
          </w:p>
        </w:tc>
      </w:tr>
      <w:tr>
        <w:trPr>
          <w:trHeight w:val="1100" w:hRule="atLeast"/>
        </w:trPr>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Fonti</w:t>
      </w:r>
    </w:p>
    <w:p>
      <w:pPr>
        <w:pStyle w:val="ListParagraph"/>
        <w:pStyle w:val="SaNote"/>
        <w:numPr>
          <w:ilvl w:val="0"/>
          <w:numId w:val="1"/>
        </w:numPr>
      </w:pPr>
      <w:r>
        <w:t xml:space="preserve">D.Lgs. 81/2008, art. 35 — riunione periodica — </w:t>
      </w:r>
      <w:hyperlink w:history="1" r:id="rIdugchjpcpjjb64ofrx4i-0">
        <w:r>
          <w:rPr>
            <w:color w:val="005674"/>
            <w:u w:val="single"/>
          </w:rPr>
          <w:t xml:space="preserve">https://www.normattiva.it/uri-res/N2Ls?urn:nir:stato:decreto.legislativo:2008-04-09;81~art35</w:t>
        </w:r>
      </w:hyperlink>
    </w:p>
    <w:p>
      <w:pPr>
        <w:pStyle w:val="ListParagraph"/>
        <w:pStyle w:val="SaNote"/>
        <w:numPr>
          <w:ilvl w:val="0"/>
          <w:numId w:val="1"/>
        </w:numPr>
      </w:pPr>
      <w:r>
        <w:t xml:space="preserve">D.Lgs. 81/2008, art. 50 — attribuzioni del RLS — </w:t>
      </w:r>
      <w:hyperlink w:history="1" r:id="rIdqekna5ayf5xr8h89_usdt">
        <w:r>
          <w:rPr>
            <w:color w:val="005674"/>
            <w:u w:val="single"/>
          </w:rPr>
          <w:t xml:space="preserve">https://www.normattiva.it/uri-res/N2Ls?urn:nir:stato:decreto.legislativo:2008-04-09;81~art50</w:t>
        </w:r>
      </w:hyperlink>
    </w:p>
    <w:p>
      <w:pPr>
        <w:pStyle w:val="ListParagraph"/>
        <w:pStyle w:val="SaNote"/>
        <w:numPr>
          <w:ilvl w:val="0"/>
          <w:numId w:val="1"/>
        </w:numPr>
      </w:pPr>
      <w:r>
        <w:t xml:space="preserve">D.Lgs. 81/2008, art. 25 — obblighi del medico competente — </w:t>
      </w:r>
      <w:hyperlink w:history="1" r:id="rIdz97ta7ypds1d5okqjne6s">
        <w:r>
          <w:rPr>
            <w:color w:val="005674"/>
            <w:u w:val="single"/>
          </w:rPr>
          <w:t xml:space="preserve">https://www.normattiva.it/uri-res/N2Ls?urn:nir:stato:decreto.legislativo:2008-04-09;81~art25</w:t>
        </w:r>
      </w:hyperlink>
    </w:p>
    <w:p>
      <w:pPr>
        <w:pStyle w:val="SaNote"/>
      </w:pPr>
      <w:r>
        <w:rPr>
          <w:b w:val="false"/>
          <w:bCs w:val="false"/>
        </w:rPr>
        <w:t xml:space="preserve">Contenuto rivisto il 2026-09-08 · La pagina di questo modello — https://safeally.net/it-it/modelli/check-list-sopralluogo/</w:t>
      </w:r>
    </w:p>
    <w:p>
      <w:pPr>
        <w:pStyle w:val="SaNote"/>
      </w:pPr>
      <w:r>
        <w:rPr>
          <w:b w:val="false"/>
          <w:bCs w:val="false"/>
        </w:rPr>
        <w:t xml:space="preserve">SafeAlly — safeally.net · gratuito, senza account, documento modificabile</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Contenuto rivisto il 2026-09-08 · safeally.net</w:t>
    </w:r>
    <w:r>
      <w:t xml:space="preserve">	</w:t>
      <w:t xml:space="preserve">Pagina </w:t>
      <w:fldChar w:fldCharType="begin"/>
      <w:instrText xml:space="preserve">PAGE</w:instrText>
      <w:fldChar w:fldCharType="separate"/>
      <w:fldChar w:fldCharType="end"/>
    </w:r>
    <w:r>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Sopralluogo — area: …………………………… — il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normattiva.it/uri-res/N2Ls?urn:nir:stato:decreto.legislativo:2008-04-09;81~art35" TargetMode="External"/><Relationship Id="rIdqekna5ayf5xr8h89_usdt" Type="http://schemas.openxmlformats.org/officeDocument/2006/relationships/hyperlink" Target="https://www.normattiva.it/uri-res/N2Ls?urn:nir:stato:decreto.legislativo:2008-04-09;81~art50" TargetMode="External"/><Relationship Id="rIdz97ta7ypds1d5okqjne6s" Type="http://schemas.openxmlformats.org/officeDocument/2006/relationships/hyperlink" Target="https://www.normattiva.it/uri-res/N2Ls?urn:nir:stato:decreto.legislativo:2008-04-09;81~art25"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Sopralluogo di sicurezza</dc:title>
  <dc:subject>Check-list di sopralluogo da compilare in reparto — Italia. SafeAlly, safeally.net.</dc:subject>
  <dc:creator>SafeAlly — safeally.net</dc:creator>
  <dc:description>Check-list di sopralluogo da compilare in reparto — Italia.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